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4F1" w:rsidRPr="008A0317" w:rsidRDefault="003F64F1" w:rsidP="008A0317">
      <w:pPr>
        <w:ind w:left="6372"/>
        <w:jc w:val="both"/>
        <w:rPr>
          <w:i/>
          <w:sz w:val="16"/>
          <w:szCs w:val="16"/>
        </w:rPr>
      </w:pPr>
      <w:r w:rsidRPr="008A0317">
        <w:rPr>
          <w:i/>
          <w:sz w:val="16"/>
          <w:szCs w:val="16"/>
        </w:rPr>
        <w:t>Załącznik nr 1</w:t>
      </w:r>
    </w:p>
    <w:p w:rsidR="003F64F1" w:rsidRPr="008A0317" w:rsidRDefault="003F64F1" w:rsidP="008A0317">
      <w:pPr>
        <w:ind w:left="6372"/>
        <w:jc w:val="both"/>
        <w:rPr>
          <w:i/>
          <w:sz w:val="16"/>
          <w:szCs w:val="16"/>
        </w:rPr>
      </w:pPr>
      <w:r>
        <w:rPr>
          <w:i/>
          <w:sz w:val="16"/>
          <w:szCs w:val="16"/>
        </w:rPr>
        <w:t>do Zarządzenia Nr OR-I.0050.493.2013</w:t>
      </w:r>
      <w:r w:rsidRPr="008A0317">
        <w:rPr>
          <w:i/>
          <w:sz w:val="16"/>
          <w:szCs w:val="16"/>
        </w:rPr>
        <w:t xml:space="preserve"> </w:t>
      </w:r>
    </w:p>
    <w:p w:rsidR="003F64F1" w:rsidRPr="008A0317" w:rsidRDefault="003F64F1" w:rsidP="008A0317">
      <w:pPr>
        <w:ind w:left="6372"/>
        <w:jc w:val="both"/>
        <w:rPr>
          <w:i/>
          <w:sz w:val="16"/>
          <w:szCs w:val="16"/>
        </w:rPr>
      </w:pPr>
      <w:r w:rsidRPr="008A0317">
        <w:rPr>
          <w:i/>
          <w:sz w:val="16"/>
          <w:szCs w:val="16"/>
        </w:rPr>
        <w:t xml:space="preserve">Prezydenta Miasta Opola </w:t>
      </w:r>
    </w:p>
    <w:p w:rsidR="003F64F1" w:rsidRPr="008A0317" w:rsidRDefault="003F64F1" w:rsidP="008A0317">
      <w:pPr>
        <w:ind w:left="6372"/>
        <w:jc w:val="both"/>
        <w:rPr>
          <w:sz w:val="16"/>
          <w:szCs w:val="16"/>
        </w:rPr>
      </w:pPr>
      <w:r>
        <w:rPr>
          <w:i/>
          <w:sz w:val="16"/>
          <w:szCs w:val="16"/>
        </w:rPr>
        <w:t xml:space="preserve">z dnia 20 sierpnia  </w:t>
      </w:r>
      <w:r w:rsidRPr="008A0317">
        <w:rPr>
          <w:i/>
          <w:sz w:val="16"/>
          <w:szCs w:val="16"/>
        </w:rPr>
        <w:t>2013r.</w:t>
      </w:r>
    </w:p>
    <w:p w:rsidR="003F64F1" w:rsidRDefault="003F64F1" w:rsidP="007B7002">
      <w:pPr>
        <w:jc w:val="both"/>
        <w:rPr>
          <w:b/>
        </w:rPr>
      </w:pPr>
    </w:p>
    <w:p w:rsidR="003F64F1" w:rsidRPr="008A0317" w:rsidRDefault="003F64F1" w:rsidP="007B7002">
      <w:pPr>
        <w:jc w:val="both"/>
        <w:rPr>
          <w:b/>
          <w:sz w:val="20"/>
          <w:szCs w:val="20"/>
        </w:rPr>
      </w:pPr>
      <w:r w:rsidRPr="008A0317">
        <w:rPr>
          <w:b/>
          <w:sz w:val="20"/>
          <w:szCs w:val="20"/>
        </w:rPr>
        <w:t xml:space="preserve">Procedura w zakresie terminów ustalania i przeliczania wysokości kwot dotacji na jednego ucznia </w:t>
      </w:r>
      <w:r w:rsidRPr="008A0317">
        <w:rPr>
          <w:b/>
          <w:sz w:val="20"/>
          <w:szCs w:val="20"/>
        </w:rPr>
        <w:br/>
        <w:t>w publicznych i niepublicznych jednostkach systemu oświaty prowadzonych przez osoby fizyczne i osoby prawne niebędące jednostką samorządu terytorialnego</w:t>
      </w:r>
    </w:p>
    <w:p w:rsidR="003F64F1" w:rsidRPr="008A0317" w:rsidRDefault="003F64F1" w:rsidP="007B7002">
      <w:pPr>
        <w:jc w:val="both"/>
        <w:rPr>
          <w:b/>
        </w:rPr>
      </w:pPr>
    </w:p>
    <w:p w:rsidR="003F64F1" w:rsidRPr="008A0317" w:rsidRDefault="003F64F1" w:rsidP="00456A8C">
      <w:pPr>
        <w:numPr>
          <w:ilvl w:val="0"/>
          <w:numId w:val="2"/>
        </w:numPr>
        <w:spacing w:after="200" w:line="276" w:lineRule="auto"/>
        <w:ind w:left="426" w:hanging="426"/>
        <w:contextualSpacing/>
        <w:jc w:val="both"/>
        <w:rPr>
          <w:sz w:val="22"/>
          <w:szCs w:val="22"/>
          <w:lang w:eastAsia="en-US"/>
        </w:rPr>
      </w:pPr>
      <w:r w:rsidRPr="008A0317">
        <w:rPr>
          <w:sz w:val="22"/>
          <w:szCs w:val="22"/>
          <w:lang w:eastAsia="en-US"/>
        </w:rPr>
        <w:t>Dotacja jest wypłacana na wniosek podmiotu uprawnionego spełniającego odpowiednie warunki wynikające z ustawy z dnia 7 września 1991r. o systemie oświaty (Dz.U z 2004r. Nr 256, poz. 2572 ze zmianami) (dalej: Podmiot uprawniony).</w:t>
      </w:r>
    </w:p>
    <w:p w:rsidR="003F64F1" w:rsidRPr="008A0317" w:rsidRDefault="003F64F1" w:rsidP="00456A8C">
      <w:pPr>
        <w:numPr>
          <w:ilvl w:val="0"/>
          <w:numId w:val="2"/>
        </w:numPr>
        <w:spacing w:after="200" w:line="276" w:lineRule="auto"/>
        <w:ind w:left="426" w:hanging="426"/>
        <w:contextualSpacing/>
        <w:jc w:val="both"/>
        <w:rPr>
          <w:sz w:val="22"/>
          <w:szCs w:val="22"/>
          <w:lang w:eastAsia="en-US"/>
        </w:rPr>
      </w:pPr>
      <w:r w:rsidRPr="008A0317">
        <w:rPr>
          <w:sz w:val="22"/>
          <w:szCs w:val="22"/>
          <w:lang w:eastAsia="en-US"/>
        </w:rPr>
        <w:t>Dotacja przekazywana jest miesięcznie do ostatniego dnia każdego miesiąca i przypada na każdego ucznia (wychowanka).</w:t>
      </w:r>
    </w:p>
    <w:p w:rsidR="003F64F1" w:rsidRPr="008A0317" w:rsidRDefault="003F64F1" w:rsidP="00456A8C">
      <w:pPr>
        <w:numPr>
          <w:ilvl w:val="0"/>
          <w:numId w:val="2"/>
        </w:numPr>
        <w:spacing w:after="200" w:line="276" w:lineRule="auto"/>
        <w:ind w:left="426" w:hanging="426"/>
        <w:contextualSpacing/>
        <w:jc w:val="both"/>
        <w:rPr>
          <w:sz w:val="22"/>
          <w:szCs w:val="22"/>
          <w:lang w:eastAsia="en-US"/>
        </w:rPr>
      </w:pPr>
      <w:r w:rsidRPr="008A0317">
        <w:rPr>
          <w:sz w:val="22"/>
          <w:szCs w:val="22"/>
          <w:lang w:eastAsia="en-US"/>
        </w:rPr>
        <w:t xml:space="preserve">Do czasu ustalenia wysokości dotacji – w danym roku budżetowym następuje to po otrzymaniu przez Miasto Opole z Ministerstwa Edukacji Narodowej tzw. „metryczki części oświatowej subwencji ogólnej” – wysokość dotacji przekazywana w przeliczeniu na każdego ucznia będzie odpowiadała wysokości dotacji przekazywanej w roku poprzednim. </w:t>
      </w:r>
    </w:p>
    <w:p w:rsidR="003F64F1" w:rsidRPr="008A0317" w:rsidRDefault="003F64F1" w:rsidP="00456A8C">
      <w:pPr>
        <w:numPr>
          <w:ilvl w:val="0"/>
          <w:numId w:val="2"/>
        </w:numPr>
        <w:spacing w:after="200" w:line="276" w:lineRule="auto"/>
        <w:ind w:left="426" w:hanging="426"/>
        <w:contextualSpacing/>
        <w:jc w:val="both"/>
        <w:rPr>
          <w:sz w:val="22"/>
          <w:szCs w:val="22"/>
          <w:lang w:eastAsia="en-US"/>
        </w:rPr>
      </w:pPr>
      <w:r w:rsidRPr="008A0317">
        <w:rPr>
          <w:sz w:val="22"/>
          <w:szCs w:val="22"/>
          <w:lang w:eastAsia="en-US"/>
        </w:rPr>
        <w:t>Pierwsze przeliczenie wysokości dotacji na dany rok budżetowy po otrzymaniu tzw. „metryczki części oświatowej subwencji ogólnej” następuje najpóźniej do ostatniego dnia miesiąca następującego po miesiącu wpływu do Urzędu Miasta Opola „metryczki części oświatowej subwencji ogólnej”.</w:t>
      </w:r>
    </w:p>
    <w:p w:rsidR="003F64F1" w:rsidRPr="008A0317" w:rsidRDefault="003F64F1" w:rsidP="00456A8C">
      <w:pPr>
        <w:numPr>
          <w:ilvl w:val="0"/>
          <w:numId w:val="2"/>
        </w:numPr>
        <w:spacing w:after="200" w:line="276" w:lineRule="auto"/>
        <w:ind w:left="426" w:hanging="426"/>
        <w:contextualSpacing/>
        <w:jc w:val="both"/>
        <w:rPr>
          <w:sz w:val="22"/>
          <w:szCs w:val="22"/>
          <w:lang w:eastAsia="en-US"/>
        </w:rPr>
      </w:pPr>
      <w:r w:rsidRPr="008A0317">
        <w:rPr>
          <w:sz w:val="22"/>
          <w:szCs w:val="22"/>
          <w:lang w:eastAsia="en-US"/>
        </w:rPr>
        <w:t>Po dokonaniu pierwszego przeliczenia dotacji:</w:t>
      </w:r>
    </w:p>
    <w:p w:rsidR="003F64F1" w:rsidRPr="008A0317" w:rsidRDefault="003F64F1" w:rsidP="00046578">
      <w:pPr>
        <w:numPr>
          <w:ilvl w:val="0"/>
          <w:numId w:val="3"/>
        </w:numPr>
        <w:spacing w:after="200" w:line="276" w:lineRule="auto"/>
        <w:ind w:left="709" w:hanging="283"/>
        <w:contextualSpacing/>
        <w:jc w:val="both"/>
        <w:rPr>
          <w:sz w:val="22"/>
          <w:szCs w:val="22"/>
          <w:lang w:eastAsia="en-US"/>
        </w:rPr>
      </w:pPr>
      <w:r w:rsidRPr="008A0317">
        <w:rPr>
          <w:sz w:val="22"/>
          <w:szCs w:val="22"/>
          <w:lang w:eastAsia="en-US"/>
        </w:rPr>
        <w:t xml:space="preserve">w przypadku, w którym wartość dotacji należnej podmiotom uprawnionym po pierwszym przeliczeniu przewyższa poziom dotacji ustalonej przed pierwszym przeliczeniem zostaje dokonane odpowiednie wyrównanie wypłat dotacji wypłaconych w poprzednich miesiącach. Przez wyrównanie wypłat dotacji wypłaconych w poprzednich miesiącach (dalej „Wyrównanie”) rozumie się dokonanie jednorazowej wypłaty dotacji w kwocie odpowiadającej </w:t>
      </w:r>
      <w:r>
        <w:rPr>
          <w:sz w:val="22"/>
          <w:szCs w:val="22"/>
          <w:lang w:eastAsia="en-US"/>
        </w:rPr>
        <w:t>różnicy pomiędzy kwotą należnej dotacji wyliczonej po dokonaniu przeliczenia a wartością dotacji wypłaconej przed dokonaniem przeliczenia.</w:t>
      </w:r>
    </w:p>
    <w:p w:rsidR="003F64F1" w:rsidRPr="008A0317" w:rsidRDefault="003F64F1" w:rsidP="00046578">
      <w:pPr>
        <w:numPr>
          <w:ilvl w:val="0"/>
          <w:numId w:val="3"/>
        </w:numPr>
        <w:spacing w:after="200" w:line="276" w:lineRule="auto"/>
        <w:ind w:left="709" w:hanging="283"/>
        <w:contextualSpacing/>
        <w:jc w:val="both"/>
        <w:rPr>
          <w:sz w:val="22"/>
          <w:szCs w:val="22"/>
          <w:lang w:eastAsia="en-US"/>
        </w:rPr>
      </w:pPr>
      <w:r w:rsidRPr="008A0317">
        <w:rPr>
          <w:sz w:val="22"/>
          <w:szCs w:val="22"/>
          <w:lang w:eastAsia="en-US"/>
        </w:rPr>
        <w:t>w przypadku, w którym wartość dotacji należnej podmiotom uprawnionym po przeliczeniu jest niższa od poziomu dotacji ustalonej przed pierwszym przeliczeniem zostaje dokonane odpowiednie potrącenie z wypłaty dotacji.</w:t>
      </w:r>
    </w:p>
    <w:p w:rsidR="003F64F1" w:rsidRPr="008A0317" w:rsidRDefault="003F64F1" w:rsidP="00472276">
      <w:pPr>
        <w:spacing w:after="200"/>
        <w:ind w:left="708"/>
        <w:contextualSpacing/>
        <w:jc w:val="both"/>
        <w:rPr>
          <w:sz w:val="22"/>
          <w:szCs w:val="22"/>
          <w:lang w:eastAsia="en-US"/>
        </w:rPr>
      </w:pPr>
      <w:r w:rsidRPr="008A0317">
        <w:rPr>
          <w:sz w:val="22"/>
          <w:szCs w:val="22"/>
          <w:lang w:eastAsia="en-US"/>
        </w:rPr>
        <w:t xml:space="preserve">Przez potrącenie z wypłaty dotacji (dalej „Potrącenie”) rozumie się dokonanie zmniejszenia wypłaty dotacji w miesiącach następujących po dokonaniu przeliczenia w kwocie odpowiadającej </w:t>
      </w:r>
      <w:r>
        <w:rPr>
          <w:sz w:val="22"/>
          <w:szCs w:val="22"/>
          <w:lang w:eastAsia="en-US"/>
        </w:rPr>
        <w:t xml:space="preserve">różnicy pomiędzy kwotą dotacji wypłaconej przed dokonaniem przeliczenia </w:t>
      </w:r>
      <w:r>
        <w:rPr>
          <w:sz w:val="22"/>
          <w:szCs w:val="22"/>
          <w:lang w:eastAsia="en-US"/>
        </w:rPr>
        <w:br/>
      </w:r>
      <w:r w:rsidRPr="008A0317">
        <w:rPr>
          <w:sz w:val="22"/>
          <w:szCs w:val="22"/>
          <w:lang w:eastAsia="en-US"/>
        </w:rPr>
        <w:t>a wartością należnej dotac</w:t>
      </w:r>
      <w:r>
        <w:rPr>
          <w:sz w:val="22"/>
          <w:szCs w:val="22"/>
          <w:lang w:eastAsia="en-US"/>
        </w:rPr>
        <w:t>ji po dokonaniu przeliczenia.</w:t>
      </w:r>
    </w:p>
    <w:p w:rsidR="003F64F1" w:rsidRPr="008A0317" w:rsidRDefault="003F64F1" w:rsidP="00472276">
      <w:pPr>
        <w:pStyle w:val="ListParagraph"/>
        <w:numPr>
          <w:ilvl w:val="0"/>
          <w:numId w:val="2"/>
        </w:numPr>
        <w:ind w:left="425" w:hanging="425"/>
        <w:jc w:val="both"/>
        <w:rPr>
          <w:sz w:val="22"/>
          <w:szCs w:val="22"/>
          <w:lang w:eastAsia="en-US"/>
        </w:rPr>
      </w:pPr>
      <w:r w:rsidRPr="008A0317">
        <w:rPr>
          <w:sz w:val="22"/>
          <w:szCs w:val="22"/>
          <w:lang w:eastAsia="en-US"/>
        </w:rPr>
        <w:t xml:space="preserve">Drugie przeliczenie dotacji dokonywane jest do 31 sierpnia roku w którym dotacja jest przekazywana w oparciu o plan wydatków bieżących w poszczególnych typach i rodzajach szkół wg stanu na dzień 31 lipca danego roku. Do Wyrównania dotacji lub Potrącenia z dotacji stosuje się zasady określone w pkt. 5 lit a) i b). </w:t>
      </w:r>
    </w:p>
    <w:p w:rsidR="003F64F1" w:rsidRPr="008A0317" w:rsidRDefault="003F64F1" w:rsidP="00472276">
      <w:pPr>
        <w:pStyle w:val="ListParagraph"/>
        <w:numPr>
          <w:ilvl w:val="0"/>
          <w:numId w:val="2"/>
        </w:numPr>
        <w:ind w:left="425" w:hanging="425"/>
        <w:jc w:val="both"/>
        <w:rPr>
          <w:sz w:val="22"/>
          <w:szCs w:val="22"/>
          <w:lang w:eastAsia="en-US"/>
        </w:rPr>
      </w:pPr>
      <w:r w:rsidRPr="008A0317">
        <w:rPr>
          <w:sz w:val="22"/>
          <w:szCs w:val="22"/>
          <w:lang w:eastAsia="en-US"/>
        </w:rPr>
        <w:t xml:space="preserve">Trzecie przeliczenie dotacji dokonywane jest do 30 </w:t>
      </w:r>
      <w:r>
        <w:rPr>
          <w:sz w:val="22"/>
          <w:szCs w:val="22"/>
          <w:lang w:eastAsia="en-US"/>
        </w:rPr>
        <w:t>grudnia</w:t>
      </w:r>
      <w:r w:rsidRPr="008A0317">
        <w:rPr>
          <w:sz w:val="22"/>
          <w:szCs w:val="22"/>
          <w:lang w:eastAsia="en-US"/>
        </w:rPr>
        <w:t xml:space="preserve"> roku w którym dotacja jest przekazywana w oparciu o plan wydatków bieżących w poszczególnych typach i rodzajach szkół wg stanu na dzień 3</w:t>
      </w:r>
      <w:r>
        <w:rPr>
          <w:sz w:val="22"/>
          <w:szCs w:val="22"/>
          <w:lang w:eastAsia="en-US"/>
        </w:rPr>
        <w:t>0</w:t>
      </w:r>
      <w:r w:rsidRPr="008A0317">
        <w:rPr>
          <w:sz w:val="22"/>
          <w:szCs w:val="22"/>
          <w:lang w:eastAsia="en-US"/>
        </w:rPr>
        <w:t xml:space="preserve"> </w:t>
      </w:r>
      <w:r>
        <w:rPr>
          <w:sz w:val="22"/>
          <w:szCs w:val="22"/>
          <w:lang w:eastAsia="en-US"/>
        </w:rPr>
        <w:t>listopada</w:t>
      </w:r>
      <w:r w:rsidRPr="008A0317">
        <w:rPr>
          <w:sz w:val="22"/>
          <w:szCs w:val="22"/>
          <w:lang w:eastAsia="en-US"/>
        </w:rPr>
        <w:t xml:space="preserve"> danego roku. Do Wyrównania dotacji lub Potrącenia z dotacji stosuje się zasady określone w pkt. 5 lit a) i b).</w:t>
      </w:r>
    </w:p>
    <w:p w:rsidR="003F64F1" w:rsidRDefault="003F64F1" w:rsidP="00CF72A1">
      <w:pPr>
        <w:pStyle w:val="ListParagraph"/>
        <w:numPr>
          <w:ilvl w:val="0"/>
          <w:numId w:val="2"/>
        </w:numPr>
        <w:ind w:left="426" w:hanging="426"/>
        <w:jc w:val="both"/>
        <w:rPr>
          <w:sz w:val="22"/>
          <w:szCs w:val="22"/>
          <w:lang w:eastAsia="en-US"/>
        </w:rPr>
      </w:pPr>
      <w:r>
        <w:rPr>
          <w:sz w:val="22"/>
          <w:szCs w:val="22"/>
          <w:lang w:eastAsia="en-US"/>
        </w:rPr>
        <w:t>Końcowego</w:t>
      </w:r>
      <w:r w:rsidRPr="008A0317">
        <w:rPr>
          <w:sz w:val="22"/>
          <w:szCs w:val="22"/>
          <w:lang w:eastAsia="en-US"/>
        </w:rPr>
        <w:t xml:space="preserve"> rozliczenia z Podmiotami uprawnionymi z tytułu Wyrównania lub Potrącenia dokonuje się w terminach przeliczenia dotacji z pkt. 4, 5, 7. </w:t>
      </w:r>
    </w:p>
    <w:p w:rsidR="003F64F1" w:rsidRDefault="003F64F1" w:rsidP="008A0317">
      <w:pPr>
        <w:jc w:val="both"/>
        <w:rPr>
          <w:sz w:val="22"/>
          <w:szCs w:val="22"/>
          <w:lang w:eastAsia="en-US"/>
        </w:rPr>
      </w:pPr>
    </w:p>
    <w:p w:rsidR="003F64F1" w:rsidRDefault="003F64F1" w:rsidP="008A0317">
      <w:pPr>
        <w:jc w:val="both"/>
        <w:rPr>
          <w:sz w:val="22"/>
          <w:szCs w:val="22"/>
          <w:lang w:eastAsia="en-US"/>
        </w:rPr>
      </w:pPr>
    </w:p>
    <w:p w:rsidR="003F64F1" w:rsidRDefault="003F64F1" w:rsidP="008A0317">
      <w:pPr>
        <w:jc w:val="both"/>
        <w:rPr>
          <w:sz w:val="22"/>
          <w:szCs w:val="22"/>
          <w:lang w:eastAsia="en-US"/>
        </w:rPr>
      </w:pPr>
    </w:p>
    <w:p w:rsidR="003F64F1" w:rsidRDefault="003F64F1" w:rsidP="008A0317">
      <w:pPr>
        <w:jc w:val="both"/>
        <w:rPr>
          <w:sz w:val="22"/>
          <w:szCs w:val="22"/>
          <w:lang w:eastAsia="en-US"/>
        </w:rPr>
      </w:pPr>
    </w:p>
    <w:p w:rsidR="003F64F1" w:rsidRPr="008A0317" w:rsidRDefault="003F64F1" w:rsidP="008A0317">
      <w:pPr>
        <w:jc w:val="both"/>
        <w:rPr>
          <w:sz w:val="22"/>
          <w:szCs w:val="22"/>
          <w:lang w:eastAsia="en-US"/>
        </w:rPr>
      </w:pPr>
    </w:p>
    <w:sectPr w:rsidR="003F64F1" w:rsidRPr="008A0317" w:rsidSect="00C20F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0680C"/>
    <w:multiLevelType w:val="hybridMultilevel"/>
    <w:tmpl w:val="E9B0C8AC"/>
    <w:lvl w:ilvl="0" w:tplc="ACB8ADF4">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D1314DB"/>
    <w:multiLevelType w:val="hybridMultilevel"/>
    <w:tmpl w:val="D9B6CCE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7DC63CD"/>
    <w:multiLevelType w:val="hybridMultilevel"/>
    <w:tmpl w:val="3D068D3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41D13C7F"/>
    <w:multiLevelType w:val="hybridMultilevel"/>
    <w:tmpl w:val="AB1E1D9C"/>
    <w:lvl w:ilvl="0" w:tplc="5948AAE4">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5397197A"/>
    <w:multiLevelType w:val="hybridMultilevel"/>
    <w:tmpl w:val="3B0A7DDE"/>
    <w:lvl w:ilvl="0" w:tplc="DECCD870">
      <w:start w:val="1"/>
      <w:numFmt w:val="lowerLetter"/>
      <w:lvlText w:val="%1)"/>
      <w:lvlJc w:val="left"/>
      <w:pPr>
        <w:tabs>
          <w:tab w:val="num" w:pos="-687"/>
        </w:tabs>
        <w:ind w:left="-687" w:hanging="360"/>
      </w:pPr>
      <w:rPr>
        <w:rFonts w:cs="Times New Roman" w:hint="default"/>
      </w:rPr>
    </w:lvl>
    <w:lvl w:ilvl="1" w:tplc="04150019" w:tentative="1">
      <w:start w:val="1"/>
      <w:numFmt w:val="lowerLetter"/>
      <w:lvlText w:val="%2."/>
      <w:lvlJc w:val="left"/>
      <w:pPr>
        <w:tabs>
          <w:tab w:val="num" w:pos="-315"/>
        </w:tabs>
        <w:ind w:left="-315" w:hanging="360"/>
      </w:pPr>
      <w:rPr>
        <w:rFonts w:cs="Times New Roman"/>
      </w:rPr>
    </w:lvl>
    <w:lvl w:ilvl="2" w:tplc="0415001B" w:tentative="1">
      <w:start w:val="1"/>
      <w:numFmt w:val="lowerRoman"/>
      <w:lvlText w:val="%3."/>
      <w:lvlJc w:val="right"/>
      <w:pPr>
        <w:tabs>
          <w:tab w:val="num" w:pos="405"/>
        </w:tabs>
        <w:ind w:left="405" w:hanging="180"/>
      </w:pPr>
      <w:rPr>
        <w:rFonts w:cs="Times New Roman"/>
      </w:rPr>
    </w:lvl>
    <w:lvl w:ilvl="3" w:tplc="0415000F" w:tentative="1">
      <w:start w:val="1"/>
      <w:numFmt w:val="decimal"/>
      <w:lvlText w:val="%4."/>
      <w:lvlJc w:val="left"/>
      <w:pPr>
        <w:tabs>
          <w:tab w:val="num" w:pos="1125"/>
        </w:tabs>
        <w:ind w:left="1125" w:hanging="360"/>
      </w:pPr>
      <w:rPr>
        <w:rFonts w:cs="Times New Roman"/>
      </w:rPr>
    </w:lvl>
    <w:lvl w:ilvl="4" w:tplc="04150019" w:tentative="1">
      <w:start w:val="1"/>
      <w:numFmt w:val="lowerLetter"/>
      <w:lvlText w:val="%5."/>
      <w:lvlJc w:val="left"/>
      <w:pPr>
        <w:tabs>
          <w:tab w:val="num" w:pos="1845"/>
        </w:tabs>
        <w:ind w:left="1845" w:hanging="360"/>
      </w:pPr>
      <w:rPr>
        <w:rFonts w:cs="Times New Roman"/>
      </w:rPr>
    </w:lvl>
    <w:lvl w:ilvl="5" w:tplc="0415001B" w:tentative="1">
      <w:start w:val="1"/>
      <w:numFmt w:val="lowerRoman"/>
      <w:lvlText w:val="%6."/>
      <w:lvlJc w:val="right"/>
      <w:pPr>
        <w:tabs>
          <w:tab w:val="num" w:pos="2565"/>
        </w:tabs>
        <w:ind w:left="2565" w:hanging="180"/>
      </w:pPr>
      <w:rPr>
        <w:rFonts w:cs="Times New Roman"/>
      </w:rPr>
    </w:lvl>
    <w:lvl w:ilvl="6" w:tplc="0415000F" w:tentative="1">
      <w:start w:val="1"/>
      <w:numFmt w:val="decimal"/>
      <w:lvlText w:val="%7."/>
      <w:lvlJc w:val="left"/>
      <w:pPr>
        <w:tabs>
          <w:tab w:val="num" w:pos="3285"/>
        </w:tabs>
        <w:ind w:left="3285" w:hanging="360"/>
      </w:pPr>
      <w:rPr>
        <w:rFonts w:cs="Times New Roman"/>
      </w:rPr>
    </w:lvl>
    <w:lvl w:ilvl="7" w:tplc="04150019" w:tentative="1">
      <w:start w:val="1"/>
      <w:numFmt w:val="lowerLetter"/>
      <w:lvlText w:val="%8."/>
      <w:lvlJc w:val="left"/>
      <w:pPr>
        <w:tabs>
          <w:tab w:val="num" w:pos="4005"/>
        </w:tabs>
        <w:ind w:left="4005" w:hanging="360"/>
      </w:pPr>
      <w:rPr>
        <w:rFonts w:cs="Times New Roman"/>
      </w:rPr>
    </w:lvl>
    <w:lvl w:ilvl="8" w:tplc="0415001B" w:tentative="1">
      <w:start w:val="1"/>
      <w:numFmt w:val="lowerRoman"/>
      <w:lvlText w:val="%9."/>
      <w:lvlJc w:val="right"/>
      <w:pPr>
        <w:tabs>
          <w:tab w:val="num" w:pos="4725"/>
        </w:tabs>
        <w:ind w:left="4725" w:hanging="180"/>
      </w:pPr>
      <w:rPr>
        <w:rFonts w:cs="Times New Roman"/>
      </w:rPr>
    </w:lvl>
  </w:abstractNum>
  <w:abstractNum w:abstractNumId="5">
    <w:nsid w:val="736F4A9D"/>
    <w:multiLevelType w:val="hybridMultilevel"/>
    <w:tmpl w:val="BDEEC8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3D9A"/>
    <w:rsid w:val="00032A9B"/>
    <w:rsid w:val="00036DE3"/>
    <w:rsid w:val="00046578"/>
    <w:rsid w:val="000A1BA8"/>
    <w:rsid w:val="000A7D4A"/>
    <w:rsid w:val="000C1A47"/>
    <w:rsid w:val="0010400E"/>
    <w:rsid w:val="001135B4"/>
    <w:rsid w:val="001176A0"/>
    <w:rsid w:val="0015180D"/>
    <w:rsid w:val="001661A3"/>
    <w:rsid w:val="001733EF"/>
    <w:rsid w:val="001A3323"/>
    <w:rsid w:val="001D5FD4"/>
    <w:rsid w:val="001E33F0"/>
    <w:rsid w:val="001E3AFC"/>
    <w:rsid w:val="002217B3"/>
    <w:rsid w:val="0028371C"/>
    <w:rsid w:val="002C555E"/>
    <w:rsid w:val="00346DFA"/>
    <w:rsid w:val="003524D4"/>
    <w:rsid w:val="0036258D"/>
    <w:rsid w:val="003709C3"/>
    <w:rsid w:val="003727CE"/>
    <w:rsid w:val="00376446"/>
    <w:rsid w:val="003A3A9D"/>
    <w:rsid w:val="003B198F"/>
    <w:rsid w:val="003F64F1"/>
    <w:rsid w:val="00456A8C"/>
    <w:rsid w:val="00472276"/>
    <w:rsid w:val="004A4C48"/>
    <w:rsid w:val="004B4289"/>
    <w:rsid w:val="004B6BD6"/>
    <w:rsid w:val="004F68B9"/>
    <w:rsid w:val="00574908"/>
    <w:rsid w:val="005A536F"/>
    <w:rsid w:val="00622C1A"/>
    <w:rsid w:val="00635AF9"/>
    <w:rsid w:val="006A784C"/>
    <w:rsid w:val="006B01AA"/>
    <w:rsid w:val="006D0358"/>
    <w:rsid w:val="007325F4"/>
    <w:rsid w:val="00737D58"/>
    <w:rsid w:val="007B7002"/>
    <w:rsid w:val="007D5FD1"/>
    <w:rsid w:val="007F3BFD"/>
    <w:rsid w:val="00830975"/>
    <w:rsid w:val="00846C06"/>
    <w:rsid w:val="00866E44"/>
    <w:rsid w:val="00867504"/>
    <w:rsid w:val="00871C8B"/>
    <w:rsid w:val="008A0317"/>
    <w:rsid w:val="008A4A9C"/>
    <w:rsid w:val="008D4EBC"/>
    <w:rsid w:val="008E615F"/>
    <w:rsid w:val="008E6E28"/>
    <w:rsid w:val="00956682"/>
    <w:rsid w:val="009A615F"/>
    <w:rsid w:val="009A6B61"/>
    <w:rsid w:val="009D4534"/>
    <w:rsid w:val="00A36CCB"/>
    <w:rsid w:val="00AD72CA"/>
    <w:rsid w:val="00B0723F"/>
    <w:rsid w:val="00B24B53"/>
    <w:rsid w:val="00B43B14"/>
    <w:rsid w:val="00B73BBB"/>
    <w:rsid w:val="00C20F7C"/>
    <w:rsid w:val="00C564C9"/>
    <w:rsid w:val="00CC302E"/>
    <w:rsid w:val="00CD3D9A"/>
    <w:rsid w:val="00CF6B2E"/>
    <w:rsid w:val="00CF72A1"/>
    <w:rsid w:val="00D83817"/>
    <w:rsid w:val="00E42DAE"/>
    <w:rsid w:val="00E602D7"/>
    <w:rsid w:val="00EB6494"/>
    <w:rsid w:val="00ED17BC"/>
    <w:rsid w:val="00EE6DB1"/>
    <w:rsid w:val="00F1740A"/>
    <w:rsid w:val="00F21923"/>
    <w:rsid w:val="00F422D8"/>
    <w:rsid w:val="00F57A91"/>
    <w:rsid w:val="00FC25E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D9A"/>
    <w:rPr>
      <w:rFonts w:ascii="Times New Roman" w:eastAsia="Times New Roman" w:hAnsi="Times New Roman"/>
      <w:sz w:val="24"/>
      <w:szCs w:val="24"/>
    </w:rPr>
  </w:style>
  <w:style w:type="paragraph" w:styleId="Heading1">
    <w:name w:val="heading 1"/>
    <w:basedOn w:val="Normal"/>
    <w:next w:val="Normal"/>
    <w:link w:val="Heading1Char"/>
    <w:uiPriority w:val="99"/>
    <w:qFormat/>
    <w:rsid w:val="00CD3D9A"/>
    <w:pPr>
      <w:keepNext/>
      <w:jc w:val="center"/>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3D9A"/>
    <w:rPr>
      <w:rFonts w:ascii="Times New Roman" w:hAnsi="Times New Roman" w:cs="Times New Roman"/>
      <w:b/>
      <w:bCs/>
      <w:sz w:val="24"/>
      <w:szCs w:val="24"/>
      <w:lang w:eastAsia="pl-PL"/>
    </w:rPr>
  </w:style>
  <w:style w:type="paragraph" w:styleId="BodyText">
    <w:name w:val="Body Text"/>
    <w:basedOn w:val="Normal"/>
    <w:link w:val="BodyTextChar"/>
    <w:uiPriority w:val="99"/>
    <w:rsid w:val="001A3323"/>
    <w:pPr>
      <w:jc w:val="both"/>
    </w:pPr>
    <w:rPr>
      <w:sz w:val="28"/>
    </w:rPr>
  </w:style>
  <w:style w:type="character" w:customStyle="1" w:styleId="BodyTextChar">
    <w:name w:val="Body Text Char"/>
    <w:basedOn w:val="DefaultParagraphFont"/>
    <w:link w:val="BodyText"/>
    <w:uiPriority w:val="99"/>
    <w:locked/>
    <w:rsid w:val="001A3323"/>
    <w:rPr>
      <w:rFonts w:ascii="Times New Roman" w:hAnsi="Times New Roman" w:cs="Times New Roman"/>
      <w:sz w:val="24"/>
      <w:szCs w:val="24"/>
      <w:lang w:eastAsia="pl-PL"/>
    </w:rPr>
  </w:style>
  <w:style w:type="paragraph" w:styleId="ListParagraph">
    <w:name w:val="List Paragraph"/>
    <w:basedOn w:val="Normal"/>
    <w:uiPriority w:val="99"/>
    <w:qFormat/>
    <w:rsid w:val="00EB6494"/>
    <w:pPr>
      <w:ind w:left="720"/>
      <w:contextualSpacing/>
    </w:pPr>
  </w:style>
  <w:style w:type="paragraph" w:customStyle="1" w:styleId="paragraf">
    <w:name w:val="paragraf"/>
    <w:basedOn w:val="Normal"/>
    <w:uiPriority w:val="99"/>
    <w:rsid w:val="002217B3"/>
    <w:pPr>
      <w:tabs>
        <w:tab w:val="right" w:pos="8505"/>
      </w:tabs>
      <w:overflowPunct w:val="0"/>
      <w:autoSpaceDE w:val="0"/>
      <w:autoSpaceDN w:val="0"/>
      <w:adjustRightInd w:val="0"/>
      <w:ind w:firstLine="709"/>
      <w:textAlignment w:val="baseline"/>
    </w:pPr>
    <w:rPr>
      <w:rFonts w:ascii="Arial" w:hAnsi="Arial"/>
      <w:sz w:val="22"/>
      <w:szCs w:val="20"/>
    </w:rPr>
  </w:style>
  <w:style w:type="paragraph" w:styleId="BodyText2">
    <w:name w:val="Body Text 2"/>
    <w:basedOn w:val="Normal"/>
    <w:link w:val="BodyText2Char"/>
    <w:uiPriority w:val="99"/>
    <w:semiHidden/>
    <w:rsid w:val="008A0317"/>
    <w:pPr>
      <w:spacing w:after="120" w:line="480" w:lineRule="auto"/>
    </w:pPr>
  </w:style>
  <w:style w:type="character" w:customStyle="1" w:styleId="BodyText2Char">
    <w:name w:val="Body Text 2 Char"/>
    <w:basedOn w:val="DefaultParagraphFont"/>
    <w:link w:val="BodyText2"/>
    <w:uiPriority w:val="99"/>
    <w:semiHidden/>
    <w:locked/>
    <w:rsid w:val="008A0317"/>
    <w:rPr>
      <w:rFonts w:ascii="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639725358">
      <w:marLeft w:val="0"/>
      <w:marRight w:val="0"/>
      <w:marTop w:val="0"/>
      <w:marBottom w:val="0"/>
      <w:divBdr>
        <w:top w:val="none" w:sz="0" w:space="0" w:color="auto"/>
        <w:left w:val="none" w:sz="0" w:space="0" w:color="auto"/>
        <w:bottom w:val="none" w:sz="0" w:space="0" w:color="auto"/>
        <w:right w:val="none" w:sz="0" w:space="0" w:color="auto"/>
      </w:divBdr>
      <w:divsChild>
        <w:div w:id="639725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462</Words>
  <Characters>2774</Characters>
  <Application>Microsoft Office Outlook</Application>
  <DocSecurity>0</DocSecurity>
  <Lines>0</Lines>
  <Paragraphs>0</Paragraphs>
  <ScaleCrop>false</ScaleCrop>
  <Company>Urząd Miasta Opola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subject/>
  <dc:creator>Paweł Krawczyk</dc:creator>
  <cp:keywords/>
  <dc:description/>
  <cp:lastModifiedBy> </cp:lastModifiedBy>
  <cp:revision>2</cp:revision>
  <cp:lastPrinted>2013-08-20T09:25:00Z</cp:lastPrinted>
  <dcterms:created xsi:type="dcterms:W3CDTF">2013-08-21T06:07:00Z</dcterms:created>
  <dcterms:modified xsi:type="dcterms:W3CDTF">2013-08-21T06:07:00Z</dcterms:modified>
</cp:coreProperties>
</file>