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034" w:rsidRPr="00067DF9" w:rsidRDefault="00887A9F" w:rsidP="00300034">
      <w:pPr>
        <w:ind w:right="-286" w:firstLine="851"/>
        <w:jc w:val="center"/>
        <w:rPr>
          <w:rFonts w:ascii="Verdana" w:hAnsi="Verdana"/>
          <w:b/>
          <w:sz w:val="22"/>
          <w:szCs w:val="22"/>
          <w:u w:val="single"/>
        </w:rPr>
      </w:pPr>
      <w:r>
        <w:rPr>
          <w:rFonts w:ascii="Verdana" w:hAnsi="Verdana"/>
          <w:b/>
          <w:sz w:val="22"/>
          <w:szCs w:val="22"/>
          <w:u w:val="single"/>
        </w:rPr>
        <w:t>Informacja</w:t>
      </w:r>
    </w:p>
    <w:p w:rsidR="00300034" w:rsidRPr="001D3C1F" w:rsidRDefault="00300034" w:rsidP="00300034">
      <w:pPr>
        <w:ind w:right="-569" w:firstLine="851"/>
        <w:jc w:val="both"/>
        <w:rPr>
          <w:rFonts w:ascii="Verdana" w:hAnsi="Verdana"/>
          <w:sz w:val="22"/>
          <w:szCs w:val="22"/>
        </w:rPr>
      </w:pPr>
    </w:p>
    <w:p w:rsidR="00300034" w:rsidRPr="001D3C1F" w:rsidRDefault="00300034" w:rsidP="00300034">
      <w:pPr>
        <w:ind w:right="-569" w:firstLine="851"/>
        <w:jc w:val="both"/>
        <w:rPr>
          <w:rFonts w:ascii="Verdana" w:hAnsi="Verdana"/>
          <w:sz w:val="22"/>
          <w:szCs w:val="22"/>
        </w:rPr>
      </w:pPr>
    </w:p>
    <w:p w:rsidR="00300034" w:rsidRDefault="00300034" w:rsidP="00300034">
      <w:pPr>
        <w:pStyle w:val="Tekstpodstawowy"/>
        <w:ind w:right="-286" w:firstLine="851"/>
        <w:rPr>
          <w:szCs w:val="22"/>
        </w:rPr>
      </w:pPr>
      <w:r w:rsidRPr="001D3C1F">
        <w:rPr>
          <w:szCs w:val="22"/>
        </w:rPr>
        <w:t>W dniach od 1 sierpnia do 29 listopada 2017 r.</w:t>
      </w:r>
      <w:r w:rsidRPr="001D3C1F">
        <w:rPr>
          <w:rFonts w:cs="Arial"/>
          <w:b/>
          <w:szCs w:val="22"/>
        </w:rPr>
        <w:t xml:space="preserve"> </w:t>
      </w:r>
      <w:r w:rsidRPr="001D3C1F">
        <w:rPr>
          <w:szCs w:val="22"/>
        </w:rPr>
        <w:t>przez Wydział</w:t>
      </w:r>
      <w:r>
        <w:rPr>
          <w:szCs w:val="22"/>
        </w:rPr>
        <w:t xml:space="preserve"> </w:t>
      </w:r>
      <w:r w:rsidRPr="001D3C1F">
        <w:rPr>
          <w:szCs w:val="22"/>
        </w:rPr>
        <w:t>Budżet</w:t>
      </w:r>
      <w:r>
        <w:rPr>
          <w:szCs w:val="22"/>
        </w:rPr>
        <w:t>u</w:t>
      </w:r>
      <w:r w:rsidRPr="001D3C1F">
        <w:rPr>
          <w:szCs w:val="22"/>
        </w:rPr>
        <w:t xml:space="preserve">, </w:t>
      </w:r>
      <w:r>
        <w:rPr>
          <w:szCs w:val="22"/>
        </w:rPr>
        <w:t xml:space="preserve">Wydział </w:t>
      </w:r>
      <w:r w:rsidRPr="001D3C1F">
        <w:rPr>
          <w:szCs w:val="22"/>
        </w:rPr>
        <w:t>Finansowo – Księgowy oraz</w:t>
      </w:r>
      <w:r>
        <w:rPr>
          <w:szCs w:val="22"/>
        </w:rPr>
        <w:t xml:space="preserve"> Wydział</w:t>
      </w:r>
      <w:r w:rsidRPr="001D3C1F">
        <w:rPr>
          <w:szCs w:val="22"/>
        </w:rPr>
        <w:t xml:space="preserve"> Kontroli Wewnętrznej</w:t>
      </w:r>
      <w:r w:rsidRPr="009C35C5">
        <w:rPr>
          <w:szCs w:val="22"/>
        </w:rPr>
        <w:t xml:space="preserve"> </w:t>
      </w:r>
      <w:r w:rsidRPr="001D3C1F">
        <w:rPr>
          <w:szCs w:val="22"/>
        </w:rPr>
        <w:t xml:space="preserve">Urzędu Miasta Opola zostało przeprowadzone postępowanie kontrolne nr 25/17. Celem kontroli było </w:t>
      </w:r>
      <w:r>
        <w:rPr>
          <w:szCs w:val="22"/>
        </w:rPr>
        <w:t>zbadanie:</w:t>
      </w:r>
    </w:p>
    <w:p w:rsidR="00300034" w:rsidRPr="00CC15A7" w:rsidRDefault="00300034" w:rsidP="00300034">
      <w:pPr>
        <w:numPr>
          <w:ilvl w:val="0"/>
          <w:numId w:val="3"/>
        </w:numPr>
        <w:tabs>
          <w:tab w:val="left" w:pos="426"/>
        </w:tabs>
        <w:ind w:left="426" w:right="-286" w:hanging="426"/>
        <w:jc w:val="both"/>
        <w:rPr>
          <w:rFonts w:ascii="Verdana" w:hAnsi="Verdana"/>
          <w:sz w:val="22"/>
          <w:szCs w:val="22"/>
        </w:rPr>
      </w:pPr>
      <w:r w:rsidRPr="00CC15A7">
        <w:rPr>
          <w:rFonts w:ascii="Verdana" w:hAnsi="Verdana"/>
          <w:sz w:val="22"/>
          <w:szCs w:val="22"/>
        </w:rPr>
        <w:t>prawidłowoś</w:t>
      </w:r>
      <w:r>
        <w:rPr>
          <w:rFonts w:ascii="Verdana" w:hAnsi="Verdana"/>
          <w:sz w:val="22"/>
          <w:szCs w:val="22"/>
        </w:rPr>
        <w:t>ci</w:t>
      </w:r>
      <w:r w:rsidRPr="00CC15A7">
        <w:rPr>
          <w:rFonts w:ascii="Verdana" w:hAnsi="Verdana"/>
          <w:sz w:val="22"/>
          <w:szCs w:val="22"/>
        </w:rPr>
        <w:t xml:space="preserve"> opracowania procedur finansowych (polityka rachunkowości, zakładowy plan kont i inne regulaminy),</w:t>
      </w:r>
    </w:p>
    <w:p w:rsidR="00300034" w:rsidRPr="00CC15A7" w:rsidRDefault="00300034" w:rsidP="00300034">
      <w:pPr>
        <w:numPr>
          <w:ilvl w:val="0"/>
          <w:numId w:val="3"/>
        </w:numPr>
        <w:tabs>
          <w:tab w:val="right" w:pos="426"/>
        </w:tabs>
        <w:ind w:left="426" w:right="-286" w:hanging="426"/>
        <w:jc w:val="both"/>
        <w:rPr>
          <w:rFonts w:ascii="Verdana" w:hAnsi="Verdana"/>
          <w:sz w:val="22"/>
          <w:szCs w:val="22"/>
        </w:rPr>
      </w:pPr>
      <w:r w:rsidRPr="00CC15A7">
        <w:rPr>
          <w:rFonts w:ascii="Verdana" w:hAnsi="Verdana"/>
          <w:sz w:val="22"/>
          <w:szCs w:val="22"/>
        </w:rPr>
        <w:t>zgodnoś</w:t>
      </w:r>
      <w:r>
        <w:rPr>
          <w:rFonts w:ascii="Verdana" w:hAnsi="Verdana"/>
          <w:sz w:val="22"/>
          <w:szCs w:val="22"/>
        </w:rPr>
        <w:t>ci</w:t>
      </w:r>
      <w:r w:rsidRPr="00CC15A7">
        <w:rPr>
          <w:rFonts w:ascii="Verdana" w:hAnsi="Verdana"/>
          <w:sz w:val="22"/>
          <w:szCs w:val="22"/>
        </w:rPr>
        <w:t xml:space="preserve"> sprawozdań z ewidencją księgową,</w:t>
      </w:r>
    </w:p>
    <w:p w:rsidR="00300034" w:rsidRPr="00CC15A7" w:rsidRDefault="00300034" w:rsidP="00300034">
      <w:pPr>
        <w:numPr>
          <w:ilvl w:val="0"/>
          <w:numId w:val="3"/>
        </w:numPr>
        <w:tabs>
          <w:tab w:val="right" w:pos="426"/>
        </w:tabs>
        <w:ind w:left="426" w:right="-286" w:hanging="426"/>
        <w:jc w:val="both"/>
        <w:rPr>
          <w:rFonts w:ascii="Verdana" w:hAnsi="Verdana"/>
          <w:sz w:val="22"/>
          <w:szCs w:val="22"/>
        </w:rPr>
      </w:pPr>
      <w:r w:rsidRPr="00CC15A7">
        <w:rPr>
          <w:rFonts w:ascii="Verdana" w:hAnsi="Verdana"/>
          <w:sz w:val="22"/>
          <w:szCs w:val="22"/>
        </w:rPr>
        <w:t>prawidłowoś</w:t>
      </w:r>
      <w:r>
        <w:rPr>
          <w:rFonts w:ascii="Verdana" w:hAnsi="Verdana"/>
          <w:sz w:val="22"/>
          <w:szCs w:val="22"/>
        </w:rPr>
        <w:t>ci</w:t>
      </w:r>
      <w:r w:rsidRPr="00CC15A7">
        <w:rPr>
          <w:rFonts w:ascii="Verdana" w:hAnsi="Verdana"/>
          <w:sz w:val="22"/>
          <w:szCs w:val="22"/>
        </w:rPr>
        <w:t xml:space="preserve"> opisu dokumentów księgowych (dekretacja, zatwierdzanie do wypłaty),</w:t>
      </w:r>
    </w:p>
    <w:p w:rsidR="00300034" w:rsidRPr="00CC15A7" w:rsidRDefault="00300034" w:rsidP="00300034">
      <w:pPr>
        <w:numPr>
          <w:ilvl w:val="0"/>
          <w:numId w:val="3"/>
        </w:numPr>
        <w:tabs>
          <w:tab w:val="right" w:pos="426"/>
        </w:tabs>
        <w:ind w:left="426" w:right="-286" w:hanging="426"/>
        <w:jc w:val="both"/>
        <w:rPr>
          <w:rFonts w:ascii="Verdana" w:hAnsi="Verdana"/>
          <w:sz w:val="22"/>
          <w:szCs w:val="22"/>
        </w:rPr>
      </w:pPr>
      <w:r>
        <w:rPr>
          <w:rFonts w:ascii="Verdana" w:hAnsi="Verdana"/>
          <w:sz w:val="22"/>
          <w:szCs w:val="22"/>
        </w:rPr>
        <w:t>poprawności</w:t>
      </w:r>
      <w:r w:rsidRPr="00CC15A7">
        <w:rPr>
          <w:rFonts w:ascii="Verdana" w:hAnsi="Verdana"/>
          <w:sz w:val="22"/>
          <w:szCs w:val="22"/>
        </w:rPr>
        <w:t xml:space="preserve"> księgowania operacji gospodarczych,</w:t>
      </w:r>
    </w:p>
    <w:p w:rsidR="00300034" w:rsidRPr="00CC15A7" w:rsidRDefault="00300034" w:rsidP="00300034">
      <w:pPr>
        <w:numPr>
          <w:ilvl w:val="0"/>
          <w:numId w:val="3"/>
        </w:numPr>
        <w:tabs>
          <w:tab w:val="right" w:pos="426"/>
        </w:tabs>
        <w:ind w:left="426" w:right="-286" w:hanging="426"/>
        <w:jc w:val="both"/>
        <w:rPr>
          <w:rFonts w:ascii="Verdana" w:hAnsi="Verdana"/>
          <w:sz w:val="22"/>
          <w:szCs w:val="22"/>
        </w:rPr>
      </w:pPr>
      <w:r>
        <w:rPr>
          <w:rFonts w:ascii="Verdana" w:hAnsi="Verdana"/>
          <w:sz w:val="22"/>
          <w:szCs w:val="22"/>
        </w:rPr>
        <w:t>poprawności</w:t>
      </w:r>
      <w:r w:rsidRPr="00CC15A7">
        <w:rPr>
          <w:rFonts w:ascii="Verdana" w:hAnsi="Verdana"/>
          <w:sz w:val="22"/>
          <w:szCs w:val="22"/>
        </w:rPr>
        <w:t xml:space="preserve"> prowadzenia ewidencji należności i zobowiązań,</w:t>
      </w:r>
    </w:p>
    <w:p w:rsidR="00300034" w:rsidRPr="00CC15A7" w:rsidRDefault="00300034" w:rsidP="00300034">
      <w:pPr>
        <w:numPr>
          <w:ilvl w:val="0"/>
          <w:numId w:val="3"/>
        </w:numPr>
        <w:tabs>
          <w:tab w:val="right" w:pos="426"/>
        </w:tabs>
        <w:ind w:left="426" w:right="-286" w:hanging="426"/>
        <w:jc w:val="both"/>
        <w:rPr>
          <w:rFonts w:ascii="Verdana" w:hAnsi="Verdana"/>
          <w:sz w:val="22"/>
          <w:szCs w:val="22"/>
        </w:rPr>
      </w:pPr>
      <w:r>
        <w:rPr>
          <w:rFonts w:ascii="Verdana" w:hAnsi="Verdana"/>
          <w:sz w:val="22"/>
          <w:szCs w:val="22"/>
        </w:rPr>
        <w:t>terminowości</w:t>
      </w:r>
      <w:r w:rsidRPr="00CC15A7">
        <w:rPr>
          <w:rFonts w:ascii="Verdana" w:hAnsi="Verdana"/>
          <w:sz w:val="22"/>
          <w:szCs w:val="22"/>
        </w:rPr>
        <w:t xml:space="preserve"> płacenia zobowiązań (podatki, składki ZUS i inne),</w:t>
      </w:r>
    </w:p>
    <w:p w:rsidR="00300034" w:rsidRPr="00CC15A7" w:rsidRDefault="00300034" w:rsidP="00300034">
      <w:pPr>
        <w:numPr>
          <w:ilvl w:val="0"/>
          <w:numId w:val="3"/>
        </w:numPr>
        <w:tabs>
          <w:tab w:val="right" w:pos="426"/>
        </w:tabs>
        <w:ind w:left="426" w:right="-286" w:hanging="426"/>
        <w:jc w:val="both"/>
        <w:rPr>
          <w:rFonts w:ascii="Verdana" w:hAnsi="Verdana"/>
          <w:sz w:val="22"/>
          <w:szCs w:val="22"/>
        </w:rPr>
      </w:pPr>
      <w:r>
        <w:rPr>
          <w:rFonts w:ascii="Verdana" w:hAnsi="Verdana"/>
          <w:sz w:val="22"/>
          <w:szCs w:val="22"/>
        </w:rPr>
        <w:t>gromadzenia</w:t>
      </w:r>
      <w:r w:rsidRPr="00CC15A7">
        <w:rPr>
          <w:rFonts w:ascii="Verdana" w:hAnsi="Verdana"/>
          <w:sz w:val="22"/>
          <w:szCs w:val="22"/>
        </w:rPr>
        <w:t xml:space="preserve"> i odprowadzani</w:t>
      </w:r>
      <w:r>
        <w:rPr>
          <w:rFonts w:ascii="Verdana" w:hAnsi="Verdana"/>
          <w:sz w:val="22"/>
          <w:szCs w:val="22"/>
        </w:rPr>
        <w:t>a</w:t>
      </w:r>
      <w:r w:rsidRPr="00CC15A7">
        <w:rPr>
          <w:rFonts w:ascii="Verdana" w:hAnsi="Verdana"/>
          <w:sz w:val="22"/>
          <w:szCs w:val="22"/>
        </w:rPr>
        <w:t xml:space="preserve"> dochodów budżetowych,</w:t>
      </w:r>
    </w:p>
    <w:p w:rsidR="00300034" w:rsidRPr="00CC15A7" w:rsidRDefault="00300034" w:rsidP="00300034">
      <w:pPr>
        <w:numPr>
          <w:ilvl w:val="0"/>
          <w:numId w:val="3"/>
        </w:numPr>
        <w:tabs>
          <w:tab w:val="right" w:pos="426"/>
        </w:tabs>
        <w:ind w:left="426" w:right="-286" w:hanging="426"/>
        <w:jc w:val="both"/>
        <w:rPr>
          <w:rFonts w:ascii="Verdana" w:hAnsi="Verdana"/>
          <w:sz w:val="22"/>
          <w:szCs w:val="22"/>
        </w:rPr>
      </w:pPr>
      <w:r w:rsidRPr="00CC15A7">
        <w:rPr>
          <w:rFonts w:ascii="Verdana" w:hAnsi="Verdana"/>
          <w:sz w:val="22"/>
          <w:szCs w:val="22"/>
        </w:rPr>
        <w:t>ewidencj</w:t>
      </w:r>
      <w:r>
        <w:rPr>
          <w:rFonts w:ascii="Verdana" w:hAnsi="Verdana"/>
          <w:sz w:val="22"/>
          <w:szCs w:val="22"/>
        </w:rPr>
        <w:t>i</w:t>
      </w:r>
      <w:r w:rsidRPr="00CC15A7">
        <w:rPr>
          <w:rFonts w:ascii="Verdana" w:hAnsi="Verdana"/>
          <w:sz w:val="22"/>
          <w:szCs w:val="22"/>
        </w:rPr>
        <w:t xml:space="preserve"> i rozliczani</w:t>
      </w:r>
      <w:r>
        <w:rPr>
          <w:rFonts w:ascii="Verdana" w:hAnsi="Verdana"/>
          <w:sz w:val="22"/>
          <w:szCs w:val="22"/>
        </w:rPr>
        <w:t>a</w:t>
      </w:r>
      <w:r w:rsidRPr="00CC15A7">
        <w:rPr>
          <w:rFonts w:ascii="Verdana" w:hAnsi="Verdana"/>
          <w:sz w:val="22"/>
          <w:szCs w:val="22"/>
        </w:rPr>
        <w:t xml:space="preserve"> VAT-u,</w:t>
      </w:r>
    </w:p>
    <w:p w:rsidR="00300034" w:rsidRPr="00CC15A7" w:rsidRDefault="00300034" w:rsidP="00300034">
      <w:pPr>
        <w:pStyle w:val="Tekstpodstawowy"/>
        <w:numPr>
          <w:ilvl w:val="0"/>
          <w:numId w:val="3"/>
        </w:numPr>
        <w:tabs>
          <w:tab w:val="right" w:pos="426"/>
        </w:tabs>
        <w:ind w:left="426" w:right="-286" w:hanging="426"/>
        <w:rPr>
          <w:rFonts w:cs="Arial"/>
          <w:szCs w:val="22"/>
        </w:rPr>
      </w:pPr>
      <w:r>
        <w:rPr>
          <w:rFonts w:cs="Arial"/>
          <w:szCs w:val="22"/>
        </w:rPr>
        <w:t xml:space="preserve">zasadności i legalności </w:t>
      </w:r>
      <w:r w:rsidRPr="00CC15A7">
        <w:rPr>
          <w:rFonts w:cs="Arial"/>
          <w:szCs w:val="22"/>
        </w:rPr>
        <w:t>wydatk</w:t>
      </w:r>
      <w:r>
        <w:rPr>
          <w:rFonts w:cs="Arial"/>
          <w:szCs w:val="22"/>
        </w:rPr>
        <w:t>ów budżetowych</w:t>
      </w:r>
      <w:r w:rsidRPr="00CC15A7">
        <w:rPr>
          <w:rFonts w:cs="Arial"/>
          <w:szCs w:val="22"/>
        </w:rPr>
        <w:t>,</w:t>
      </w:r>
    </w:p>
    <w:p w:rsidR="00300034" w:rsidRPr="00CC15A7" w:rsidRDefault="00300034" w:rsidP="00300034">
      <w:pPr>
        <w:pStyle w:val="Tekstpodstawowy"/>
        <w:numPr>
          <w:ilvl w:val="0"/>
          <w:numId w:val="3"/>
        </w:numPr>
        <w:tabs>
          <w:tab w:val="right" w:pos="426"/>
        </w:tabs>
        <w:ind w:left="426" w:right="-286" w:hanging="426"/>
        <w:rPr>
          <w:rFonts w:cs="Arial"/>
          <w:szCs w:val="22"/>
        </w:rPr>
      </w:pPr>
      <w:r>
        <w:rPr>
          <w:rFonts w:cs="Arial"/>
          <w:szCs w:val="22"/>
        </w:rPr>
        <w:t>prawidłowości</w:t>
      </w:r>
      <w:r w:rsidRPr="00CC15A7">
        <w:rPr>
          <w:rFonts w:cs="Arial"/>
          <w:szCs w:val="22"/>
        </w:rPr>
        <w:t xml:space="preserve"> ustalania wynagrodzeń,</w:t>
      </w:r>
    </w:p>
    <w:p w:rsidR="00300034" w:rsidRPr="00CC15A7" w:rsidRDefault="00300034" w:rsidP="00300034">
      <w:pPr>
        <w:pStyle w:val="Tekstpodstawowy"/>
        <w:numPr>
          <w:ilvl w:val="0"/>
          <w:numId w:val="3"/>
        </w:numPr>
        <w:tabs>
          <w:tab w:val="right" w:pos="426"/>
        </w:tabs>
        <w:ind w:left="426" w:right="-286" w:hanging="426"/>
        <w:rPr>
          <w:rFonts w:cs="Arial"/>
          <w:szCs w:val="22"/>
        </w:rPr>
      </w:pPr>
      <w:r>
        <w:rPr>
          <w:rFonts w:cs="Arial"/>
          <w:szCs w:val="22"/>
        </w:rPr>
        <w:t xml:space="preserve">prawidłowości naliczania i wydatkowania </w:t>
      </w:r>
      <w:r w:rsidRPr="00CC15A7">
        <w:rPr>
          <w:rFonts w:cs="Arial"/>
          <w:szCs w:val="22"/>
        </w:rPr>
        <w:t>ZFŚS,</w:t>
      </w:r>
    </w:p>
    <w:p w:rsidR="00300034" w:rsidRPr="00CC15A7" w:rsidRDefault="00300034" w:rsidP="00300034">
      <w:pPr>
        <w:pStyle w:val="Tekstpodstawowy"/>
        <w:numPr>
          <w:ilvl w:val="0"/>
          <w:numId w:val="3"/>
        </w:numPr>
        <w:tabs>
          <w:tab w:val="right" w:pos="426"/>
        </w:tabs>
        <w:ind w:left="426" w:right="-286" w:hanging="426"/>
        <w:rPr>
          <w:rFonts w:cs="Arial"/>
          <w:szCs w:val="22"/>
        </w:rPr>
      </w:pPr>
      <w:r>
        <w:rPr>
          <w:rFonts w:cs="Arial"/>
          <w:szCs w:val="22"/>
        </w:rPr>
        <w:t xml:space="preserve">prawidłowości prowadzenia </w:t>
      </w:r>
      <w:r w:rsidRPr="00CC15A7">
        <w:rPr>
          <w:rFonts w:cs="Arial"/>
          <w:szCs w:val="22"/>
        </w:rPr>
        <w:t>gospodark</w:t>
      </w:r>
      <w:r>
        <w:rPr>
          <w:rFonts w:cs="Arial"/>
          <w:szCs w:val="22"/>
        </w:rPr>
        <w:t>i</w:t>
      </w:r>
      <w:r w:rsidRPr="00CC15A7">
        <w:rPr>
          <w:rFonts w:cs="Arial"/>
          <w:szCs w:val="22"/>
        </w:rPr>
        <w:t xml:space="preserve"> kasow</w:t>
      </w:r>
      <w:r>
        <w:rPr>
          <w:rFonts w:cs="Arial"/>
          <w:szCs w:val="22"/>
        </w:rPr>
        <w:t>ej</w:t>
      </w:r>
      <w:r w:rsidRPr="00CC15A7">
        <w:rPr>
          <w:rFonts w:cs="Arial"/>
          <w:szCs w:val="22"/>
        </w:rPr>
        <w:t>,</w:t>
      </w:r>
    </w:p>
    <w:p w:rsidR="00300034" w:rsidRPr="00CC15A7" w:rsidRDefault="00300034" w:rsidP="00300034">
      <w:pPr>
        <w:pStyle w:val="Tekstpodstawowy"/>
        <w:numPr>
          <w:ilvl w:val="0"/>
          <w:numId w:val="3"/>
        </w:numPr>
        <w:tabs>
          <w:tab w:val="right" w:pos="426"/>
        </w:tabs>
        <w:ind w:left="426" w:right="-286" w:hanging="426"/>
        <w:rPr>
          <w:rFonts w:cs="Arial"/>
          <w:szCs w:val="22"/>
        </w:rPr>
      </w:pPr>
      <w:r w:rsidRPr="00CC15A7">
        <w:rPr>
          <w:rFonts w:cs="Arial"/>
          <w:szCs w:val="22"/>
        </w:rPr>
        <w:t>prawidłowoś</w:t>
      </w:r>
      <w:r>
        <w:rPr>
          <w:rFonts w:cs="Arial"/>
          <w:szCs w:val="22"/>
        </w:rPr>
        <w:t>ci</w:t>
      </w:r>
      <w:r w:rsidRPr="00CC15A7">
        <w:rPr>
          <w:rFonts w:cs="Arial"/>
          <w:szCs w:val="22"/>
        </w:rPr>
        <w:t xml:space="preserve"> zatrudniania i zwalniania pracowników,</w:t>
      </w:r>
    </w:p>
    <w:p w:rsidR="00300034" w:rsidRPr="00CC15A7" w:rsidRDefault="00300034" w:rsidP="00300034">
      <w:pPr>
        <w:pStyle w:val="Tekstpodstawowy"/>
        <w:numPr>
          <w:ilvl w:val="0"/>
          <w:numId w:val="3"/>
        </w:numPr>
        <w:tabs>
          <w:tab w:val="right" w:pos="426"/>
        </w:tabs>
        <w:ind w:left="426" w:right="-286" w:hanging="426"/>
        <w:rPr>
          <w:rFonts w:cs="Arial"/>
          <w:szCs w:val="22"/>
        </w:rPr>
      </w:pPr>
      <w:r>
        <w:rPr>
          <w:rFonts w:cs="Arial"/>
          <w:szCs w:val="22"/>
        </w:rPr>
        <w:t xml:space="preserve">prawidłowości </w:t>
      </w:r>
      <w:r w:rsidRPr="00CC15A7">
        <w:rPr>
          <w:rFonts w:cs="Arial"/>
          <w:szCs w:val="22"/>
        </w:rPr>
        <w:t>udzielania zamówień publicznych,</w:t>
      </w:r>
    </w:p>
    <w:p w:rsidR="00300034" w:rsidRPr="00CC15A7" w:rsidRDefault="00300034" w:rsidP="00300034">
      <w:pPr>
        <w:pStyle w:val="Tekstpodstawowy"/>
        <w:numPr>
          <w:ilvl w:val="0"/>
          <w:numId w:val="3"/>
        </w:numPr>
        <w:tabs>
          <w:tab w:val="right" w:pos="426"/>
        </w:tabs>
        <w:ind w:left="426" w:right="-286" w:hanging="426"/>
        <w:rPr>
          <w:rFonts w:cs="Arial"/>
          <w:szCs w:val="22"/>
        </w:rPr>
      </w:pPr>
      <w:r>
        <w:rPr>
          <w:rFonts w:cs="Arial"/>
          <w:szCs w:val="22"/>
        </w:rPr>
        <w:t xml:space="preserve">prawidłowości prowadzenia </w:t>
      </w:r>
      <w:r w:rsidRPr="00CC15A7">
        <w:rPr>
          <w:rFonts w:cs="Arial"/>
          <w:szCs w:val="22"/>
        </w:rPr>
        <w:t>kontro</w:t>
      </w:r>
      <w:r>
        <w:rPr>
          <w:rFonts w:cs="Arial"/>
          <w:szCs w:val="22"/>
        </w:rPr>
        <w:t>li zarządczej</w:t>
      </w:r>
      <w:r w:rsidRPr="00CC15A7">
        <w:rPr>
          <w:rFonts w:cs="Arial"/>
          <w:szCs w:val="22"/>
        </w:rPr>
        <w:t>.</w:t>
      </w:r>
    </w:p>
    <w:p w:rsidR="00300034" w:rsidRDefault="00300034" w:rsidP="00300034">
      <w:pPr>
        <w:pStyle w:val="Tekstpodstawowy"/>
        <w:ind w:right="-286" w:firstLine="851"/>
        <w:rPr>
          <w:szCs w:val="22"/>
        </w:rPr>
      </w:pPr>
    </w:p>
    <w:p w:rsidR="00300034" w:rsidRPr="00145FF2" w:rsidRDefault="00300034" w:rsidP="00887A9F">
      <w:pPr>
        <w:pStyle w:val="Tekstpodstawowy"/>
        <w:ind w:right="-286" w:firstLine="426"/>
        <w:rPr>
          <w:rFonts w:cs="Arial"/>
          <w:szCs w:val="22"/>
        </w:rPr>
      </w:pPr>
      <w:r w:rsidRPr="00145FF2">
        <w:rPr>
          <w:szCs w:val="22"/>
        </w:rPr>
        <w:t>W trakcie kontroli stwierdzono nieprawidłowości</w:t>
      </w:r>
      <w:r w:rsidR="00887A9F">
        <w:rPr>
          <w:szCs w:val="22"/>
        </w:rPr>
        <w:t xml:space="preserve">. </w:t>
      </w:r>
      <w:r w:rsidRPr="00145FF2">
        <w:rPr>
          <w:rFonts w:cs="Arial"/>
          <w:szCs w:val="22"/>
        </w:rPr>
        <w:t>W dniu 17.01.2018 r. protokół kontroli</w:t>
      </w:r>
      <w:r w:rsidRPr="009C35C5">
        <w:rPr>
          <w:rFonts w:cs="Arial"/>
          <w:szCs w:val="22"/>
        </w:rPr>
        <w:t xml:space="preserve"> </w:t>
      </w:r>
      <w:r w:rsidRPr="00145FF2">
        <w:rPr>
          <w:rFonts w:cs="Arial"/>
          <w:szCs w:val="22"/>
        </w:rPr>
        <w:t xml:space="preserve">doręczono </w:t>
      </w:r>
      <w:r>
        <w:rPr>
          <w:rFonts w:cs="Arial"/>
          <w:szCs w:val="22"/>
        </w:rPr>
        <w:t>kierownikowi jednostki kontrolowanej</w:t>
      </w:r>
      <w:r w:rsidRPr="00145FF2">
        <w:rPr>
          <w:rFonts w:cs="Arial"/>
          <w:szCs w:val="22"/>
        </w:rPr>
        <w:t xml:space="preserve">. Do ustaleń zawartych w protokole kontroli wniesiono zastrzeżenia, które zostały częściowo uwzględnione. </w:t>
      </w:r>
    </w:p>
    <w:p w:rsidR="00300034" w:rsidRPr="00145FF2" w:rsidRDefault="00300034" w:rsidP="00300034">
      <w:pPr>
        <w:pStyle w:val="Tekstpodstawowy"/>
        <w:ind w:right="-286" w:firstLine="851"/>
        <w:rPr>
          <w:rFonts w:cs="Arial"/>
          <w:szCs w:val="22"/>
        </w:rPr>
      </w:pPr>
      <w:r w:rsidRPr="00145FF2">
        <w:rPr>
          <w:rFonts w:cs="Arial"/>
          <w:szCs w:val="22"/>
        </w:rPr>
        <w:t>W związku z</w:t>
      </w:r>
      <w:r w:rsidR="00887A9F">
        <w:rPr>
          <w:rFonts w:cs="Arial"/>
          <w:szCs w:val="22"/>
        </w:rPr>
        <w:t xml:space="preserve"> ustaleniami kontroli polecono</w:t>
      </w:r>
      <w:r w:rsidR="00FC12BA">
        <w:rPr>
          <w:rFonts w:cs="Arial"/>
          <w:szCs w:val="22"/>
        </w:rPr>
        <w:t>:</w:t>
      </w:r>
      <w:bookmarkStart w:id="0" w:name="_GoBack"/>
      <w:bookmarkEnd w:id="0"/>
    </w:p>
    <w:p w:rsidR="00300034" w:rsidRPr="001D3C1F" w:rsidRDefault="00300034" w:rsidP="00300034">
      <w:pPr>
        <w:pStyle w:val="Tekstpodstawowy"/>
        <w:numPr>
          <w:ilvl w:val="3"/>
          <w:numId w:val="1"/>
        </w:numPr>
        <w:tabs>
          <w:tab w:val="left" w:pos="709"/>
        </w:tabs>
        <w:ind w:left="709" w:right="-286" w:hanging="283"/>
        <w:rPr>
          <w:szCs w:val="22"/>
        </w:rPr>
      </w:pPr>
      <w:r w:rsidRPr="00145FF2">
        <w:rPr>
          <w:rFonts w:cs="Arial"/>
          <w:szCs w:val="22"/>
        </w:rPr>
        <w:t>Dostosować procedury finansowe do obowiązujących aktualnie przepisów tak,</w:t>
      </w:r>
      <w:r w:rsidRPr="001D3C1F">
        <w:rPr>
          <w:rFonts w:cs="Arial"/>
          <w:szCs w:val="22"/>
        </w:rPr>
        <w:t xml:space="preserve"> aby  odzwierciedlały praktyki przyjęte w jednostce, zgodnie z ustawą z dnia 24 września 1994 r. o rachunkowości (Dz.U. z 2016 r. poz. 1047 z </w:t>
      </w:r>
      <w:proofErr w:type="spellStart"/>
      <w:r w:rsidRPr="001D3C1F">
        <w:rPr>
          <w:rFonts w:cs="Arial"/>
          <w:szCs w:val="22"/>
        </w:rPr>
        <w:t>późn</w:t>
      </w:r>
      <w:proofErr w:type="spellEnd"/>
      <w:r w:rsidRPr="001D3C1F">
        <w:rPr>
          <w:rFonts w:cs="Arial"/>
          <w:szCs w:val="22"/>
        </w:rPr>
        <w:t xml:space="preserve">. zm.); z ustawą z 27 sierpnia 2009  o finansach publicznych (Dz.U. z 2017 r. poz. 2077 z </w:t>
      </w:r>
      <w:proofErr w:type="spellStart"/>
      <w:r w:rsidRPr="001D3C1F">
        <w:rPr>
          <w:rFonts w:cs="Arial"/>
          <w:szCs w:val="22"/>
        </w:rPr>
        <w:t>późn</w:t>
      </w:r>
      <w:proofErr w:type="spellEnd"/>
      <w:r w:rsidRPr="001D3C1F">
        <w:rPr>
          <w:rFonts w:cs="Arial"/>
          <w:szCs w:val="22"/>
        </w:rPr>
        <w:t xml:space="preserve">. zm.); z rozporządzeniem Ministra Finansów z dnia 5 lipca 2010 r. w sprawie </w:t>
      </w:r>
      <w:r w:rsidRPr="001D3C1F">
        <w:rPr>
          <w:rFonts w:cs="Arial"/>
          <w:bCs/>
          <w:kern w:val="36"/>
          <w:szCs w:val="22"/>
        </w:rPr>
        <w:t xml:space="preserve">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w:t>
      </w:r>
      <w:r w:rsidRPr="001D3C1F">
        <w:rPr>
          <w:rFonts w:cs="Arial"/>
          <w:szCs w:val="22"/>
        </w:rPr>
        <w:t xml:space="preserve">(Dz. U. z 2017 r., poz. 760 z </w:t>
      </w:r>
      <w:proofErr w:type="spellStart"/>
      <w:r w:rsidRPr="001D3C1F">
        <w:rPr>
          <w:rFonts w:cs="Arial"/>
          <w:szCs w:val="22"/>
        </w:rPr>
        <w:t>późn</w:t>
      </w:r>
      <w:proofErr w:type="spellEnd"/>
      <w:r w:rsidRPr="001D3C1F">
        <w:rPr>
          <w:rFonts w:cs="Arial"/>
          <w:szCs w:val="22"/>
        </w:rPr>
        <w:t>. zm.); a także z innymi przepisami prawa.</w:t>
      </w:r>
    </w:p>
    <w:p w:rsidR="00300034" w:rsidRPr="001D3C1F" w:rsidRDefault="00300034" w:rsidP="00300034">
      <w:pPr>
        <w:pStyle w:val="Tekstpodstawowy"/>
        <w:numPr>
          <w:ilvl w:val="3"/>
          <w:numId w:val="1"/>
        </w:numPr>
        <w:tabs>
          <w:tab w:val="left" w:pos="709"/>
        </w:tabs>
        <w:ind w:left="709" w:right="-286" w:hanging="283"/>
        <w:rPr>
          <w:szCs w:val="22"/>
        </w:rPr>
      </w:pPr>
      <w:r w:rsidRPr="001D3C1F">
        <w:rPr>
          <w:rFonts w:cs="Arial"/>
          <w:szCs w:val="22"/>
        </w:rPr>
        <w:t>Sprawozdania budżetowe sporządzać zgodnie z ewidencją księgową, na podstawie zapisów w księgach rachunkowych.</w:t>
      </w:r>
    </w:p>
    <w:p w:rsidR="00300034" w:rsidRPr="001D3C1F" w:rsidRDefault="00300034" w:rsidP="00300034">
      <w:pPr>
        <w:pStyle w:val="Tekstpodstawowy"/>
        <w:numPr>
          <w:ilvl w:val="3"/>
          <w:numId w:val="1"/>
        </w:numPr>
        <w:tabs>
          <w:tab w:val="left" w:pos="709"/>
        </w:tabs>
        <w:ind w:left="709" w:right="-286" w:hanging="283"/>
        <w:rPr>
          <w:szCs w:val="22"/>
        </w:rPr>
      </w:pPr>
      <w:r w:rsidRPr="001D3C1F">
        <w:rPr>
          <w:rFonts w:cs="Arial"/>
          <w:szCs w:val="22"/>
        </w:rPr>
        <w:t>Stosować na fakturach opis zastosowanego trybu zamówienia publicznego, wynikającego z ustawy Prawo zamówień publicznych, zgodnie z zapisami Instrukcji obiegu i kontroli dokumentów finansowo – księgowych.</w:t>
      </w:r>
    </w:p>
    <w:p w:rsidR="00300034" w:rsidRPr="001D3C1F" w:rsidRDefault="00300034" w:rsidP="00300034">
      <w:pPr>
        <w:pStyle w:val="Tekstpodstawowy"/>
        <w:numPr>
          <w:ilvl w:val="3"/>
          <w:numId w:val="1"/>
        </w:numPr>
        <w:tabs>
          <w:tab w:val="left" w:pos="709"/>
        </w:tabs>
        <w:ind w:left="709" w:right="-286" w:hanging="283"/>
        <w:rPr>
          <w:szCs w:val="22"/>
        </w:rPr>
      </w:pPr>
      <w:r w:rsidRPr="001D3C1F">
        <w:rPr>
          <w:rFonts w:cs="Arial"/>
          <w:szCs w:val="22"/>
        </w:rPr>
        <w:t>Odszkodowania należne jednostkom sektora finansów publicznych odprowadzać do budżetu</w:t>
      </w:r>
      <w:r>
        <w:rPr>
          <w:rFonts w:cs="Arial"/>
          <w:szCs w:val="22"/>
        </w:rPr>
        <w:t xml:space="preserve"> –</w:t>
      </w:r>
      <w:r w:rsidRPr="001D3C1F">
        <w:rPr>
          <w:rFonts w:cs="Arial"/>
          <w:szCs w:val="22"/>
        </w:rPr>
        <w:t xml:space="preserve"> </w:t>
      </w:r>
      <w:r>
        <w:rPr>
          <w:rFonts w:cs="Arial"/>
          <w:szCs w:val="22"/>
        </w:rPr>
        <w:t>a</w:t>
      </w:r>
      <w:r w:rsidRPr="001D3C1F">
        <w:rPr>
          <w:rFonts w:cs="Arial"/>
          <w:szCs w:val="22"/>
        </w:rPr>
        <w:t>rt. 5 ust. 2 pkt 6 ustawy z 27 sierpnia</w:t>
      </w:r>
      <w:r>
        <w:rPr>
          <w:rFonts w:cs="Arial"/>
          <w:szCs w:val="22"/>
        </w:rPr>
        <w:t xml:space="preserve"> 2009  o finansach publicznych (</w:t>
      </w:r>
      <w:r w:rsidRPr="001D3C1F">
        <w:rPr>
          <w:rFonts w:cs="Arial"/>
          <w:szCs w:val="22"/>
        </w:rPr>
        <w:t xml:space="preserve">Dz.U. z 2017 r. poz. 2077 z </w:t>
      </w:r>
      <w:proofErr w:type="spellStart"/>
      <w:r w:rsidRPr="001D3C1F">
        <w:rPr>
          <w:rFonts w:cs="Arial"/>
          <w:szCs w:val="22"/>
        </w:rPr>
        <w:t>późn</w:t>
      </w:r>
      <w:proofErr w:type="spellEnd"/>
      <w:r w:rsidRPr="001D3C1F">
        <w:rPr>
          <w:rFonts w:cs="Arial"/>
          <w:szCs w:val="22"/>
        </w:rPr>
        <w:t>. zm.).</w:t>
      </w:r>
    </w:p>
    <w:p w:rsidR="00300034" w:rsidRPr="001D3C1F" w:rsidRDefault="00300034" w:rsidP="00300034">
      <w:pPr>
        <w:pStyle w:val="Tekstpodstawowy"/>
        <w:numPr>
          <w:ilvl w:val="3"/>
          <w:numId w:val="1"/>
        </w:numPr>
        <w:tabs>
          <w:tab w:val="left" w:pos="709"/>
        </w:tabs>
        <w:ind w:left="709" w:right="-286" w:hanging="283"/>
        <w:rPr>
          <w:szCs w:val="22"/>
        </w:rPr>
      </w:pPr>
      <w:r w:rsidRPr="002833FB">
        <w:rPr>
          <w:rFonts w:cs="Arial"/>
          <w:szCs w:val="22"/>
        </w:rPr>
        <w:t xml:space="preserve">Faktury dokumentujące sprzedaż usług na podstawie umów barterowych księgować zgodnie z rozporządzeniem </w:t>
      </w:r>
      <w:r>
        <w:t xml:space="preserve">Ministra Rozwoju i Finansów z dnia 13 września 2017 r. w sprawie rachunkowości oraz planów kont dla budżetu </w:t>
      </w:r>
      <w:r>
        <w:lastRenderedPageBreak/>
        <w:t>państwa, budżetów jednostek samorządu terytorialnego, jednostek budżetowych, samorządowych zakładów budżetowych, państwowych funduszy celowych oraz państwowych jednostek budżetowych mających siedzibę poza granicami Rzeczypospolitej Polskiej</w:t>
      </w:r>
      <w:r w:rsidRPr="002833FB">
        <w:rPr>
          <w:rFonts w:cs="Arial"/>
          <w:szCs w:val="22"/>
        </w:rPr>
        <w:t xml:space="preserve"> (Dz. U. z 2017 r., poz. </w:t>
      </w:r>
      <w:r>
        <w:rPr>
          <w:rFonts w:cs="Arial"/>
          <w:szCs w:val="22"/>
        </w:rPr>
        <w:t>1911</w:t>
      </w:r>
      <w:r w:rsidRPr="002833FB">
        <w:rPr>
          <w:rFonts w:cs="Arial"/>
          <w:szCs w:val="22"/>
        </w:rPr>
        <w:t xml:space="preserve"> z </w:t>
      </w:r>
      <w:proofErr w:type="spellStart"/>
      <w:r w:rsidRPr="002833FB">
        <w:rPr>
          <w:rFonts w:cs="Arial"/>
          <w:szCs w:val="22"/>
        </w:rPr>
        <w:t>późn</w:t>
      </w:r>
      <w:proofErr w:type="spellEnd"/>
      <w:r w:rsidRPr="002833FB">
        <w:rPr>
          <w:rFonts w:cs="Arial"/>
          <w:szCs w:val="22"/>
        </w:rPr>
        <w:t>. zm</w:t>
      </w:r>
      <w:r>
        <w:rPr>
          <w:rFonts w:cs="Arial"/>
          <w:szCs w:val="22"/>
        </w:rPr>
        <w:t>.</w:t>
      </w:r>
      <w:r w:rsidRPr="001D3C1F">
        <w:rPr>
          <w:rFonts w:cs="Arial"/>
          <w:szCs w:val="22"/>
        </w:rPr>
        <w:t>).</w:t>
      </w:r>
    </w:p>
    <w:p w:rsidR="00300034" w:rsidRPr="001D3C1F" w:rsidRDefault="00300034" w:rsidP="00300034">
      <w:pPr>
        <w:pStyle w:val="Tekstpodstawowy"/>
        <w:tabs>
          <w:tab w:val="left" w:pos="709"/>
        </w:tabs>
        <w:ind w:left="709" w:right="-286" w:hanging="283"/>
        <w:rPr>
          <w:szCs w:val="22"/>
        </w:rPr>
      </w:pPr>
      <w:r>
        <w:rPr>
          <w:szCs w:val="22"/>
        </w:rPr>
        <w:t>6</w:t>
      </w:r>
      <w:r w:rsidRPr="001D3C1F">
        <w:rPr>
          <w:szCs w:val="22"/>
        </w:rPr>
        <w:t>.</w:t>
      </w:r>
      <w:r w:rsidRPr="001D3C1F">
        <w:rPr>
          <w:szCs w:val="22"/>
        </w:rPr>
        <w:tab/>
        <w:t>Prowadzić rozliczenia finansowe i ewidencję księgową podatku VAT w sposób zgodny z:</w:t>
      </w:r>
    </w:p>
    <w:p w:rsidR="00300034" w:rsidRPr="001D3C1F" w:rsidRDefault="00300034" w:rsidP="00300034">
      <w:pPr>
        <w:pStyle w:val="Tekstpodstawowy"/>
        <w:tabs>
          <w:tab w:val="left" w:pos="993"/>
        </w:tabs>
        <w:ind w:left="993" w:right="-286" w:hanging="284"/>
        <w:rPr>
          <w:szCs w:val="22"/>
        </w:rPr>
      </w:pPr>
      <w:r w:rsidRPr="001D3C1F">
        <w:rPr>
          <w:szCs w:val="22"/>
        </w:rPr>
        <w:t>-</w:t>
      </w:r>
      <w:r w:rsidRPr="001D3C1F">
        <w:rPr>
          <w:szCs w:val="22"/>
        </w:rPr>
        <w:tab/>
        <w:t>zarządzeniem nr OR-I.120.1.1.2017 Prezydenta Miasta Opola z dnia 2 stycznia 2017 r. w sprawie scentralizowanych zasad rozliczeń podatku VAT w Mieście Opolu i jego jednostkach organizacyjnych,</w:t>
      </w:r>
    </w:p>
    <w:p w:rsidR="00300034" w:rsidRPr="001D3C1F" w:rsidRDefault="00300034" w:rsidP="00300034">
      <w:pPr>
        <w:pStyle w:val="Tekstpodstawowy"/>
        <w:tabs>
          <w:tab w:val="left" w:pos="993"/>
        </w:tabs>
        <w:ind w:left="993" w:right="-286" w:hanging="284"/>
        <w:rPr>
          <w:szCs w:val="22"/>
        </w:rPr>
      </w:pPr>
      <w:r w:rsidRPr="001D3C1F">
        <w:rPr>
          <w:szCs w:val="22"/>
        </w:rPr>
        <w:t>-</w:t>
      </w:r>
      <w:r w:rsidRPr="001D3C1F">
        <w:rPr>
          <w:szCs w:val="22"/>
        </w:rPr>
        <w:tab/>
        <w:t>rozporządzeniem Ministra Rozwoju i Finansów z dnia 13 października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 r. poz. 1911),</w:t>
      </w:r>
    </w:p>
    <w:p w:rsidR="00300034" w:rsidRPr="001D3C1F" w:rsidRDefault="00300034" w:rsidP="00300034">
      <w:pPr>
        <w:pStyle w:val="Tekstpodstawowy"/>
        <w:tabs>
          <w:tab w:val="left" w:pos="993"/>
        </w:tabs>
        <w:ind w:left="993" w:right="-286" w:hanging="284"/>
        <w:rPr>
          <w:szCs w:val="22"/>
        </w:rPr>
      </w:pPr>
      <w:r w:rsidRPr="001D3C1F">
        <w:rPr>
          <w:szCs w:val="22"/>
        </w:rPr>
        <w:t>-</w:t>
      </w:r>
      <w:r w:rsidRPr="001D3C1F">
        <w:rPr>
          <w:szCs w:val="22"/>
        </w:rPr>
        <w:tab/>
        <w:t>ustawą o finansach publicznych (</w:t>
      </w:r>
      <w:proofErr w:type="spellStart"/>
      <w:r w:rsidRPr="001D3C1F">
        <w:rPr>
          <w:szCs w:val="22"/>
        </w:rPr>
        <w:t>t.j</w:t>
      </w:r>
      <w:proofErr w:type="spellEnd"/>
      <w:r w:rsidRPr="001D3C1F">
        <w:rPr>
          <w:szCs w:val="22"/>
        </w:rPr>
        <w:t>. Dz. U. z 2017 r. poz. 2077),</w:t>
      </w:r>
    </w:p>
    <w:p w:rsidR="00300034" w:rsidRPr="001D3C1F" w:rsidRDefault="00300034" w:rsidP="00300034">
      <w:pPr>
        <w:pStyle w:val="Tekstpodstawowy"/>
        <w:tabs>
          <w:tab w:val="left" w:pos="993"/>
        </w:tabs>
        <w:ind w:left="993" w:right="-286" w:hanging="284"/>
        <w:rPr>
          <w:szCs w:val="22"/>
        </w:rPr>
      </w:pPr>
      <w:r w:rsidRPr="001D3C1F">
        <w:rPr>
          <w:szCs w:val="22"/>
        </w:rPr>
        <w:t>-</w:t>
      </w:r>
      <w:r w:rsidRPr="001D3C1F">
        <w:rPr>
          <w:szCs w:val="22"/>
        </w:rPr>
        <w:tab/>
        <w:t>przyjętą przez jednostkę polityką rachunkowości, której postanowienia winny uwzględniać zasady określone w ww. przepisach.</w:t>
      </w:r>
    </w:p>
    <w:p w:rsidR="004E17DD" w:rsidRDefault="004E17DD"/>
    <w:sectPr w:rsidR="004E17DD" w:rsidSect="0081050F">
      <w:footerReference w:type="default" r:id="rId7"/>
      <w:pgSz w:w="11906" w:h="16838" w:code="9"/>
      <w:pgMar w:top="1560"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715" w:rsidRDefault="00E56715">
      <w:r>
        <w:separator/>
      </w:r>
    </w:p>
  </w:endnote>
  <w:endnote w:type="continuationSeparator" w:id="0">
    <w:p w:rsidR="00E56715" w:rsidRDefault="00E56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1D8" w:rsidRPr="0081013C" w:rsidRDefault="00300034">
    <w:pPr>
      <w:pStyle w:val="Stopka"/>
      <w:rPr>
        <w:rFonts w:ascii="Verdana" w:hAnsi="Verdana"/>
        <w:sz w:val="18"/>
        <w:szCs w:val="18"/>
      </w:rPr>
    </w:pPr>
    <w:r>
      <w:rPr>
        <w:rFonts w:ascii="Verdana" w:hAnsi="Verdana"/>
        <w:sz w:val="18"/>
        <w:szCs w:val="18"/>
      </w:rPr>
      <w:t>Wystąpienie pokontrolne nr 25/17</w:t>
    </w:r>
    <w:r w:rsidRPr="0081013C">
      <w:rPr>
        <w:rFonts w:ascii="Verdana" w:hAnsi="Verdana"/>
        <w:sz w:val="18"/>
        <w:szCs w:val="18"/>
      </w:rPr>
      <w:t xml:space="preserve">                                                                Strona </w:t>
    </w:r>
    <w:r w:rsidRPr="0081013C">
      <w:rPr>
        <w:rFonts w:ascii="Verdana" w:hAnsi="Verdana"/>
        <w:sz w:val="18"/>
        <w:szCs w:val="18"/>
      </w:rPr>
      <w:fldChar w:fldCharType="begin"/>
    </w:r>
    <w:r w:rsidRPr="0081013C">
      <w:rPr>
        <w:rFonts w:ascii="Verdana" w:hAnsi="Verdana"/>
        <w:sz w:val="18"/>
        <w:szCs w:val="18"/>
      </w:rPr>
      <w:instrText xml:space="preserve"> PAGE </w:instrText>
    </w:r>
    <w:r w:rsidRPr="0081013C">
      <w:rPr>
        <w:rFonts w:ascii="Verdana" w:hAnsi="Verdana"/>
        <w:sz w:val="18"/>
        <w:szCs w:val="18"/>
      </w:rPr>
      <w:fldChar w:fldCharType="separate"/>
    </w:r>
    <w:r w:rsidR="00FC12BA">
      <w:rPr>
        <w:rFonts w:ascii="Verdana" w:hAnsi="Verdana"/>
        <w:noProof/>
        <w:sz w:val="18"/>
        <w:szCs w:val="18"/>
      </w:rPr>
      <w:t>2</w:t>
    </w:r>
    <w:r w:rsidRPr="0081013C">
      <w:rPr>
        <w:rFonts w:ascii="Verdana" w:hAnsi="Verdana"/>
        <w:sz w:val="18"/>
        <w:szCs w:val="18"/>
      </w:rPr>
      <w:fldChar w:fldCharType="end"/>
    </w:r>
    <w:r w:rsidRPr="0081013C">
      <w:rPr>
        <w:rFonts w:ascii="Verdana" w:hAnsi="Verdana"/>
        <w:sz w:val="18"/>
        <w:szCs w:val="18"/>
      </w:rPr>
      <w:t xml:space="preserve"> z </w:t>
    </w:r>
    <w:r w:rsidRPr="0081013C">
      <w:rPr>
        <w:rFonts w:ascii="Verdana" w:hAnsi="Verdana"/>
        <w:sz w:val="18"/>
        <w:szCs w:val="18"/>
      </w:rPr>
      <w:fldChar w:fldCharType="begin"/>
    </w:r>
    <w:r w:rsidRPr="0081013C">
      <w:rPr>
        <w:rFonts w:ascii="Verdana" w:hAnsi="Verdana"/>
        <w:sz w:val="18"/>
        <w:szCs w:val="18"/>
      </w:rPr>
      <w:instrText xml:space="preserve"> NUMPAGES </w:instrText>
    </w:r>
    <w:r w:rsidRPr="0081013C">
      <w:rPr>
        <w:rFonts w:ascii="Verdana" w:hAnsi="Verdana"/>
        <w:sz w:val="18"/>
        <w:szCs w:val="18"/>
      </w:rPr>
      <w:fldChar w:fldCharType="separate"/>
    </w:r>
    <w:r w:rsidR="00FC12BA">
      <w:rPr>
        <w:rFonts w:ascii="Verdana" w:hAnsi="Verdana"/>
        <w:noProof/>
        <w:sz w:val="18"/>
        <w:szCs w:val="18"/>
      </w:rPr>
      <w:t>2</w:t>
    </w:r>
    <w:r w:rsidRPr="0081013C">
      <w:rPr>
        <w:rFonts w:ascii="Verdana" w:hAnsi="Verdana"/>
        <w:sz w:val="18"/>
        <w:szCs w:val="18"/>
      </w:rPr>
      <w:fldChar w:fldCharType="end"/>
    </w:r>
    <w:r w:rsidRPr="0081013C">
      <w:rPr>
        <w:rFonts w:ascii="Verdana" w:hAnsi="Verdan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715" w:rsidRDefault="00E56715">
      <w:r>
        <w:separator/>
      </w:r>
    </w:p>
  </w:footnote>
  <w:footnote w:type="continuationSeparator" w:id="0">
    <w:p w:rsidR="00E56715" w:rsidRDefault="00E56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457B1"/>
    <w:multiLevelType w:val="hybridMultilevel"/>
    <w:tmpl w:val="BC58309C"/>
    <w:lvl w:ilvl="0" w:tplc="7F2E6E16">
      <w:start w:val="1"/>
      <w:numFmt w:val="decimal"/>
      <w:lvlText w:val="%1."/>
      <w:lvlJc w:val="left"/>
      <w:pPr>
        <w:ind w:left="43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1C13A2E"/>
    <w:multiLevelType w:val="hybridMultilevel"/>
    <w:tmpl w:val="4C0847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5DE54E5"/>
    <w:multiLevelType w:val="hybridMultilevel"/>
    <w:tmpl w:val="DC509F4A"/>
    <w:lvl w:ilvl="0" w:tplc="0415000F">
      <w:start w:val="1"/>
      <w:numFmt w:val="decimal"/>
      <w:lvlText w:val="%1."/>
      <w:lvlJc w:val="left"/>
      <w:pPr>
        <w:ind w:left="360" w:hanging="360"/>
      </w:pPr>
    </w:lvl>
    <w:lvl w:ilvl="1" w:tplc="5F62BF52">
      <w:start w:val="1"/>
      <w:numFmt w:val="lowerLetter"/>
      <w:lvlText w:val="%2."/>
      <w:lvlJc w:val="left"/>
      <w:pPr>
        <w:ind w:left="644" w:hanging="360"/>
      </w:pPr>
      <w:rPr>
        <w:b w:val="0"/>
      </w:rPr>
    </w:lvl>
    <w:lvl w:ilvl="2" w:tplc="78C6D79C">
      <w:start w:val="1"/>
      <w:numFmt w:val="lowerLetter"/>
      <w:lvlText w:val="%3)"/>
      <w:lvlJc w:val="left"/>
      <w:pPr>
        <w:ind w:left="2400" w:hanging="360"/>
      </w:pPr>
      <w:rPr>
        <w:rFonts w:hint="default"/>
      </w:r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 w15:restartNumberingAfterBreak="0">
    <w:nsid w:val="709C70FE"/>
    <w:multiLevelType w:val="hybridMultilevel"/>
    <w:tmpl w:val="F3B27D8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D4"/>
    <w:rsid w:val="00300034"/>
    <w:rsid w:val="004E17DD"/>
    <w:rsid w:val="00887A9F"/>
    <w:rsid w:val="00D433D4"/>
    <w:rsid w:val="00E56715"/>
    <w:rsid w:val="00FC12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7CFFF"/>
  <w15:chartTrackingRefBased/>
  <w15:docId w15:val="{7D69BBDA-8421-48A3-834F-8767127A3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0003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300034"/>
    <w:pPr>
      <w:jc w:val="both"/>
    </w:pPr>
    <w:rPr>
      <w:rFonts w:ascii="Verdana" w:hAnsi="Verdana"/>
      <w:sz w:val="22"/>
    </w:rPr>
  </w:style>
  <w:style w:type="character" w:customStyle="1" w:styleId="TekstpodstawowyZnak">
    <w:name w:val="Tekst podstawowy Znak"/>
    <w:basedOn w:val="Domylnaczcionkaakapitu"/>
    <w:link w:val="Tekstpodstawowy"/>
    <w:rsid w:val="00300034"/>
    <w:rPr>
      <w:rFonts w:ascii="Verdana" w:eastAsia="Times New Roman" w:hAnsi="Verdana" w:cs="Times New Roman"/>
      <w:szCs w:val="24"/>
      <w:lang w:eastAsia="pl-PL"/>
    </w:rPr>
  </w:style>
  <w:style w:type="paragraph" w:styleId="Stopka">
    <w:name w:val="footer"/>
    <w:basedOn w:val="Normalny"/>
    <w:link w:val="StopkaZnak"/>
    <w:rsid w:val="00300034"/>
    <w:pPr>
      <w:tabs>
        <w:tab w:val="center" w:pos="4536"/>
        <w:tab w:val="right" w:pos="9072"/>
      </w:tabs>
    </w:pPr>
  </w:style>
  <w:style w:type="character" w:customStyle="1" w:styleId="StopkaZnak">
    <w:name w:val="Stopka Znak"/>
    <w:basedOn w:val="Domylnaczcionkaakapitu"/>
    <w:link w:val="Stopka"/>
    <w:rsid w:val="00300034"/>
    <w:rPr>
      <w:rFonts w:ascii="Times New Roman" w:eastAsia="Times New Roman" w:hAnsi="Times New Roman" w:cs="Times New Roman"/>
      <w:sz w:val="24"/>
      <w:szCs w:val="24"/>
      <w:lang w:eastAsia="pl-PL"/>
    </w:rPr>
  </w:style>
  <w:style w:type="paragraph" w:styleId="Akapitzlist">
    <w:name w:val="List Paragraph"/>
    <w:basedOn w:val="Normalny"/>
    <w:uiPriority w:val="99"/>
    <w:qFormat/>
    <w:rsid w:val="00300034"/>
    <w:pPr>
      <w:spacing w:after="160" w:line="259" w:lineRule="auto"/>
      <w:ind w:left="720"/>
      <w:contextualSpacing/>
    </w:pPr>
    <w:rPr>
      <w:rFonts w:ascii="Calibri" w:eastAsia="Calibri" w:hAnsi="Calibri"/>
      <w:sz w:val="22"/>
      <w:szCs w:val="22"/>
    </w:rPr>
  </w:style>
  <w:style w:type="character" w:customStyle="1" w:styleId="h1">
    <w:name w:val="h1"/>
    <w:rsid w:val="00300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3431</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Bełzowska</dc:creator>
  <cp:keywords/>
  <dc:description/>
  <cp:lastModifiedBy>Marta Bełzowska</cp:lastModifiedBy>
  <cp:revision>2</cp:revision>
  <dcterms:created xsi:type="dcterms:W3CDTF">2020-12-11T09:51:00Z</dcterms:created>
  <dcterms:modified xsi:type="dcterms:W3CDTF">2020-12-11T09:51:00Z</dcterms:modified>
</cp:coreProperties>
</file>