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AF" w:rsidRDefault="00BE0AAF" w:rsidP="00BE0AA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KW.1712.00004.2016                                     </w:t>
      </w:r>
      <w:r>
        <w:rPr>
          <w:rFonts w:ascii="Verdana" w:hAnsi="Verdana"/>
          <w:sz w:val="22"/>
          <w:szCs w:val="22"/>
        </w:rPr>
        <w:tab/>
        <w:t>Opole,     listopada  2016 r.</w:t>
      </w:r>
    </w:p>
    <w:p w:rsidR="00BE0AAF" w:rsidRDefault="00BE0AAF" w:rsidP="00BE0AAF">
      <w:pPr>
        <w:pStyle w:val="Tekstpodstawowy"/>
        <w:ind w:hanging="567"/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  </w:t>
      </w:r>
    </w:p>
    <w:p w:rsidR="00BE0AAF" w:rsidRDefault="00BE0AAF" w:rsidP="00BE0AAF">
      <w:pPr>
        <w:pStyle w:val="Tekstpodstawowy"/>
        <w:rPr>
          <w:b/>
          <w:szCs w:val="22"/>
        </w:rPr>
      </w:pPr>
    </w:p>
    <w:p w:rsidR="00BE0AAF" w:rsidRDefault="00BE0AAF" w:rsidP="00BE0AAF">
      <w:pPr>
        <w:pStyle w:val="Tekstpodstawowy"/>
        <w:ind w:left="5103"/>
        <w:jc w:val="left"/>
        <w:rPr>
          <w:b/>
          <w:szCs w:val="22"/>
        </w:rPr>
      </w:pPr>
    </w:p>
    <w:p w:rsidR="00BE0AAF" w:rsidRDefault="00BE0AAF" w:rsidP="00BE0AAF">
      <w:pPr>
        <w:pStyle w:val="Tekstpodstawowy"/>
        <w:jc w:val="left"/>
        <w:rPr>
          <w:b/>
          <w:szCs w:val="22"/>
        </w:rPr>
      </w:pPr>
    </w:p>
    <w:p w:rsidR="00BE0AAF" w:rsidRDefault="00BE0AAF" w:rsidP="00BE0AAF">
      <w:pPr>
        <w:pStyle w:val="Tekstpodstawowy"/>
        <w:ind w:left="4248" w:firstLine="708"/>
        <w:jc w:val="left"/>
        <w:rPr>
          <w:b/>
          <w:szCs w:val="22"/>
        </w:rPr>
      </w:pPr>
      <w:r>
        <w:rPr>
          <w:b/>
          <w:szCs w:val="22"/>
        </w:rPr>
        <w:t>Pani</w:t>
      </w:r>
    </w:p>
    <w:p w:rsidR="00BE0AAF" w:rsidRDefault="00BE0AAF" w:rsidP="00BE0AAF">
      <w:pPr>
        <w:pStyle w:val="Tekstpodstawowy"/>
        <w:ind w:left="4956"/>
        <w:jc w:val="left"/>
        <w:rPr>
          <w:b/>
          <w:szCs w:val="22"/>
        </w:rPr>
      </w:pPr>
      <w:r>
        <w:rPr>
          <w:b/>
          <w:szCs w:val="22"/>
        </w:rPr>
        <w:t xml:space="preserve">Agnieszka </w:t>
      </w:r>
      <w:proofErr w:type="spellStart"/>
      <w:r>
        <w:rPr>
          <w:b/>
          <w:szCs w:val="22"/>
        </w:rPr>
        <w:t>Radlak</w:t>
      </w:r>
      <w:proofErr w:type="spellEnd"/>
    </w:p>
    <w:p w:rsidR="00BE0AAF" w:rsidRDefault="00BE0AAF" w:rsidP="00BE0AAF">
      <w:pPr>
        <w:pStyle w:val="Tekstpodstawowy"/>
        <w:ind w:left="4248" w:firstLine="708"/>
        <w:jc w:val="left"/>
        <w:rPr>
          <w:b/>
          <w:szCs w:val="22"/>
        </w:rPr>
      </w:pPr>
      <w:r>
        <w:rPr>
          <w:b/>
          <w:szCs w:val="22"/>
        </w:rPr>
        <w:t>Naczelnik Wydziału</w:t>
      </w:r>
    </w:p>
    <w:p w:rsidR="00BE0AAF" w:rsidRDefault="00BE0AAF" w:rsidP="00BE0AAF">
      <w:pPr>
        <w:pStyle w:val="Tekstpodstawowy"/>
        <w:ind w:left="4956"/>
        <w:jc w:val="left"/>
        <w:rPr>
          <w:b/>
          <w:szCs w:val="22"/>
          <w:u w:val="single"/>
        </w:rPr>
      </w:pPr>
      <w:r>
        <w:rPr>
          <w:b/>
          <w:szCs w:val="22"/>
        </w:rPr>
        <w:t>Gospodarki Nieruchomościami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  <w:u w:val="single"/>
        </w:rPr>
        <w:br/>
      </w:r>
    </w:p>
    <w:p w:rsidR="00BE0AAF" w:rsidRDefault="00BE0AAF" w:rsidP="00BE0AAF">
      <w:pPr>
        <w:pStyle w:val="Tekstpodstawowy"/>
        <w:ind w:firstLine="708"/>
        <w:jc w:val="center"/>
        <w:rPr>
          <w:b/>
          <w:szCs w:val="22"/>
        </w:rPr>
      </w:pPr>
      <w:r>
        <w:rPr>
          <w:b/>
          <w:szCs w:val="22"/>
          <w:u w:val="single"/>
        </w:rPr>
        <w:t>WYSTĄPIENIE POKONTROLNE</w:t>
      </w:r>
    </w:p>
    <w:p w:rsidR="00BE0AAF" w:rsidRDefault="00BE0AAF" w:rsidP="00BE0AAF">
      <w:pPr>
        <w:pStyle w:val="Tekstpodstawowy"/>
        <w:ind w:hanging="567"/>
        <w:rPr>
          <w:rFonts w:cs="Arial"/>
          <w:b/>
          <w:szCs w:val="22"/>
        </w:rPr>
      </w:pPr>
      <w:r>
        <w:rPr>
          <w:b/>
          <w:szCs w:val="22"/>
        </w:rPr>
        <w:t xml:space="preserve">                                           </w:t>
      </w:r>
      <w:r>
        <w:rPr>
          <w:rFonts w:cs="Arial"/>
          <w:b/>
          <w:szCs w:val="22"/>
        </w:rPr>
        <w:t xml:space="preserve">                                            </w:t>
      </w:r>
    </w:p>
    <w:p w:rsidR="00BE0AAF" w:rsidRDefault="00BE0AAF" w:rsidP="00BE0AAF">
      <w:pPr>
        <w:pStyle w:val="Tekstpodstawowy"/>
        <w:ind w:left="-426"/>
        <w:rPr>
          <w:rFonts w:cs="Arial"/>
          <w:b/>
          <w:szCs w:val="22"/>
        </w:rPr>
      </w:pPr>
    </w:p>
    <w:p w:rsidR="00BE0AAF" w:rsidRDefault="00BE0AAF" w:rsidP="00BE0AAF">
      <w:pPr>
        <w:pStyle w:val="Tekstpodstawowywcity2"/>
        <w:spacing w:after="0" w:line="240" w:lineRule="auto"/>
        <w:ind w:left="-426" w:firstLine="71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dniach </w:t>
      </w:r>
      <w:r>
        <w:rPr>
          <w:rFonts w:ascii="Verdana" w:hAnsi="Verdana" w:cs="Arial"/>
          <w:sz w:val="22"/>
          <w:szCs w:val="22"/>
        </w:rPr>
        <w:t xml:space="preserve">od 04.04.2016 r. do 30.06.2016 r. w </w:t>
      </w:r>
      <w:r>
        <w:rPr>
          <w:rFonts w:ascii="Verdana" w:hAnsi="Verdana" w:cs="Arial"/>
          <w:b/>
          <w:sz w:val="22"/>
          <w:szCs w:val="22"/>
        </w:rPr>
        <w:t xml:space="preserve">Wydziale Gospodarki Nieruchomościami </w:t>
      </w:r>
      <w:r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11/16. </w:t>
      </w:r>
    </w:p>
    <w:p w:rsidR="00BE0AAF" w:rsidRDefault="00BE0AAF" w:rsidP="00BE0AAF">
      <w:pPr>
        <w:pStyle w:val="Tekstpodstawowywcity2"/>
        <w:tabs>
          <w:tab w:val="num" w:pos="0"/>
        </w:tabs>
        <w:spacing w:after="0" w:line="240" w:lineRule="auto"/>
        <w:ind w:left="-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Celem kontroli było dokonanie oceny spraw realizowanych przez Wydział Gospodarki Nieruchomościami w 2015 r.  W trakcie postępowania kontrolnego porównano wydatki i koszty poniesione przez Gminę Opole w związku z prowadzoną działalnością kontrolowanego wydziału. Analizie poddano również strukturę organizacyjną jednostki z uwzględnieniem ilości osób zatrudnionych w dwóch referatach oraz na stanowiskach samodzielnych. Ze strukturą organizacyjną zestawiono dane odnośnie ilości i rodzaju prowadzonych spraw, pozyskane z obowiązującego w Urzędzie Miasta Opola Systemu Obiegu Dokumentów. Sprawy objęte kontrolą zostały wyłonione na podstawie zakresu zadań powierzonych Wydziałowi Gospodarki Nieruchomościami w Regulaminie organizacyjnym Urzędu Miasta Opola. </w:t>
      </w:r>
      <w:r>
        <w:rPr>
          <w:rFonts w:ascii="Verdana" w:hAnsi="Verdana"/>
          <w:sz w:val="22"/>
          <w:szCs w:val="22"/>
        </w:rPr>
        <w:t xml:space="preserve"> </w:t>
      </w:r>
    </w:p>
    <w:p w:rsidR="00BE0AAF" w:rsidRDefault="00BE0AAF" w:rsidP="00BE0AAF">
      <w:pPr>
        <w:tabs>
          <w:tab w:val="num" w:pos="284"/>
        </w:tabs>
        <w:ind w:left="-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Ustalenia kontroli zostały zawarte w protokole kontroli, który został Pani doręczony w dniu 11.10.2016 r. </w:t>
      </w:r>
      <w:r>
        <w:rPr>
          <w:rFonts w:ascii="Verdana" w:hAnsi="Verdana" w:cs="Arial"/>
          <w:sz w:val="22"/>
          <w:szCs w:val="22"/>
        </w:rPr>
        <w:t xml:space="preserve">Do ustaleń kontroli zastrzeżeń nie wniesiono. </w:t>
      </w:r>
    </w:p>
    <w:p w:rsidR="00BE0AAF" w:rsidRDefault="00BE0AAF" w:rsidP="00BE0AAF">
      <w:pPr>
        <w:ind w:left="-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u w:val="single"/>
        </w:rPr>
        <w:t>Z dokonanych ustaleń wynika, że większość zadań wykonywanych jest zgodnie z procedurami i przepisami prawa.</w:t>
      </w:r>
      <w:r>
        <w:rPr>
          <w:rFonts w:ascii="Verdana" w:hAnsi="Verdana" w:cs="Arial"/>
          <w:color w:val="FF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Nieprawidłowości stwierdzono jedynie w przypadku spraw związanych z:</w:t>
      </w:r>
    </w:p>
    <w:p w:rsidR="00BE0AAF" w:rsidRDefault="00BE0AAF" w:rsidP="00BE0AAF">
      <w:pPr>
        <w:numPr>
          <w:ilvl w:val="0"/>
          <w:numId w:val="1"/>
        </w:numPr>
        <w:ind w:left="-426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podatkiem od nieruchomości – błędne wyliczenie kwoty w deklaracjach za styczeń oraz czerwiec 2015 r.,</w:t>
      </w:r>
    </w:p>
    <w:p w:rsidR="00BE0AAF" w:rsidRDefault="00BE0AAF" w:rsidP="00BE0AAF">
      <w:pPr>
        <w:numPr>
          <w:ilvl w:val="0"/>
          <w:numId w:val="1"/>
        </w:numPr>
        <w:ind w:left="-426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opłatami rocznymi za użytkowanie wieczyste - w </w:t>
      </w:r>
      <w:r>
        <w:rPr>
          <w:rFonts w:ascii="Verdana" w:hAnsi="Verdana"/>
          <w:sz w:val="22"/>
          <w:szCs w:val="22"/>
        </w:rPr>
        <w:t>sprawie GN-MO.6843.1.305.2015.BS, błędnie obliczono cząstkową odpłatność za 2015 r.,</w:t>
      </w:r>
    </w:p>
    <w:p w:rsidR="00BE0AAF" w:rsidRDefault="00BE0AAF" w:rsidP="00BE0AAF">
      <w:pPr>
        <w:numPr>
          <w:ilvl w:val="0"/>
          <w:numId w:val="1"/>
        </w:numPr>
        <w:ind w:left="-426" w:firstLine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przekształceniem użytkowania wieczystego w prawo własności - </w:t>
      </w:r>
      <w:r>
        <w:rPr>
          <w:rFonts w:ascii="Verdana" w:hAnsi="Verdana" w:cs="Tahoma"/>
          <w:sz w:val="22"/>
          <w:szCs w:val="22"/>
        </w:rPr>
        <w:t>w żadnym badanym przypadku strona postępowania nie została poinformowana przed wydaniem decyzji  o możliwości wypowiedzenia się co do zebranych dowodów i materiałów oraz zgłoszonych żądań. Ponadto w 7 badanych przypadkach organ nie poinformował strony o przedłużeniu terminu postępowania, mimo jego upływu.</w:t>
      </w:r>
    </w:p>
    <w:p w:rsidR="00BE0AAF" w:rsidRDefault="00BE0AAF" w:rsidP="00BE0AAF">
      <w:pPr>
        <w:ind w:left="-426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 w:val="22"/>
          <w:szCs w:val="20"/>
        </w:rPr>
        <w:t xml:space="preserve">W przypadku pkt 1 i 2 błędy zostały usunięte w trakcie kontroli. </w:t>
      </w:r>
    </w:p>
    <w:p w:rsidR="00BE0AAF" w:rsidRDefault="00BE0AAF" w:rsidP="00BE0AAF">
      <w:pPr>
        <w:ind w:left="-426" w:firstLine="71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W związku z powyższym polecam aby w ramach  p</w:t>
      </w:r>
      <w:r>
        <w:rPr>
          <w:rFonts w:ascii="Verdana" w:hAnsi="Verdana" w:cs="Arial"/>
          <w:sz w:val="22"/>
          <w:szCs w:val="22"/>
        </w:rPr>
        <w:t>rowadzonych postępowań administracyjnych informować strony o możliwości wypowiedzenia się, co do zebranych dowodów i  materiałów oraz zgłoszonych żądań na siedem dni przed wydaniem decyzji, oraz informować stronę postępowania o jego przedłużeniu, jeśli ma ono miejsce, zgodnie z art. 10 § 1 i art. 36 kodeksu postępowania administracyjnego.</w:t>
      </w:r>
    </w:p>
    <w:p w:rsidR="00BE0AAF" w:rsidRDefault="00BE0AAF" w:rsidP="00BE0AAF"/>
    <w:p w:rsidR="004B7FDD" w:rsidRDefault="004B7FDD">
      <w:bookmarkStart w:id="0" w:name="_GoBack"/>
      <w:bookmarkEnd w:id="0"/>
    </w:p>
    <w:sectPr w:rsidR="004B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C29B0"/>
    <w:multiLevelType w:val="hybridMultilevel"/>
    <w:tmpl w:val="6CF44C8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BC"/>
    <w:rsid w:val="002157BC"/>
    <w:rsid w:val="004B7FDD"/>
    <w:rsid w:val="00B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D3582-EA21-4A1A-9011-A6E61F7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AAF"/>
    <w:pPr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AAF"/>
    <w:rPr>
      <w:rFonts w:ascii="Verdana" w:eastAsia="Times New Roman" w:hAnsi="Verdana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AA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A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2298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Lisiecka</dc:creator>
  <cp:keywords/>
  <dc:description/>
  <cp:lastModifiedBy>Agnieszka Lisiecka</cp:lastModifiedBy>
  <cp:revision>2</cp:revision>
  <dcterms:created xsi:type="dcterms:W3CDTF">2019-01-28T12:26:00Z</dcterms:created>
  <dcterms:modified xsi:type="dcterms:W3CDTF">2019-01-28T12:28:00Z</dcterms:modified>
</cp:coreProperties>
</file>