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CA064A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1A1E57" w14:textId="625629D9" w:rsidR="008F142A" w:rsidRPr="00501756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1756">
        <w:rPr>
          <w:rFonts w:ascii="Times New Roman" w:eastAsia="Times New Roman" w:hAnsi="Times New Roman" w:cs="Times New Roman"/>
          <w:sz w:val="24"/>
          <w:szCs w:val="24"/>
        </w:rPr>
        <w:t xml:space="preserve"> Oferty, załączniki oraz sprawozdania składane w formie elektronicznej nie wymagają podpisów elektronicznych.</w:t>
      </w:r>
    </w:p>
    <w:p w14:paraId="5796B84C" w14:textId="557C6ABE" w:rsidR="008F142A" w:rsidRPr="00CA064A" w:rsidRDefault="008F142A" w:rsidP="0076232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64A">
        <w:rPr>
          <w:rFonts w:ascii="Times New Roman" w:eastAsia="Times New Roman" w:hAnsi="Times New Roman" w:cs="Times New Roman"/>
          <w:sz w:val="24"/>
          <w:szCs w:val="24"/>
        </w:rPr>
        <w:t>Wpływ ofert, załączników i sprawozdań składanych wyłącznie w formie elektronicznej następuje z chwilą złożenia w Urzędzie potwierdzenia złożenia</w:t>
      </w:r>
      <w:r w:rsidR="00CA064A" w:rsidRPr="00CA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64A">
        <w:rPr>
          <w:rFonts w:ascii="Times New Roman" w:eastAsia="Times New Roman" w:hAnsi="Times New Roman" w:cs="Times New Roman"/>
          <w:sz w:val="24"/>
          <w:szCs w:val="24"/>
        </w:rPr>
        <w:t>oferty</w:t>
      </w:r>
      <w:r w:rsidR="00CA064A" w:rsidRPr="00CA064A">
        <w:rPr>
          <w:rFonts w:ascii="Times New Roman" w:eastAsia="Times New Roman" w:hAnsi="Times New Roman" w:cs="Times New Roman"/>
          <w:sz w:val="24"/>
          <w:szCs w:val="24"/>
        </w:rPr>
        <w:t xml:space="preserve"> i potwierdzenia złożenia </w:t>
      </w:r>
      <w:r w:rsidRPr="00CA064A">
        <w:rPr>
          <w:rFonts w:ascii="Times New Roman" w:eastAsia="Times New Roman" w:hAnsi="Times New Roman" w:cs="Times New Roman"/>
          <w:sz w:val="24"/>
          <w:szCs w:val="24"/>
        </w:rPr>
        <w:t>sprawozdania</w:t>
      </w:r>
      <w:r w:rsidR="00CA064A" w:rsidRPr="00CA06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064A">
        <w:rPr>
          <w:rFonts w:ascii="Times New Roman" w:eastAsia="Times New Roman" w:hAnsi="Times New Roman" w:cs="Times New Roman"/>
          <w:sz w:val="24"/>
          <w:szCs w:val="24"/>
        </w:rPr>
        <w:t>wydrukowanych z Generatora i podpisanych przez osoby uprawnione do składania oświadczeń woli w imieniu organizacji pozarządowej.</w:t>
      </w:r>
    </w:p>
    <w:p w14:paraId="4C292AA7" w14:textId="0BB3F481" w:rsidR="008F142A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2A">
        <w:rPr>
          <w:rFonts w:ascii="Times New Roman" w:eastAsia="Times New Roman" w:hAnsi="Times New Roman" w:cs="Times New Roman"/>
          <w:sz w:val="24"/>
          <w:szCs w:val="24"/>
        </w:rPr>
        <w:t>Do korekt ofert i sprawozdań oraz potwierdzeń złożenia tych</w:t>
      </w:r>
      <w:r w:rsidR="00CA064A">
        <w:rPr>
          <w:rFonts w:ascii="Times New Roman" w:eastAsia="Times New Roman" w:hAnsi="Times New Roman" w:cs="Times New Roman"/>
          <w:sz w:val="24"/>
          <w:szCs w:val="24"/>
        </w:rPr>
        <w:t xml:space="preserve"> korekt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</w:t>
      </w:r>
      <w:proofErr w:type="spellStart"/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46341" w14:textId="77777777" w:rsidR="00A448E0" w:rsidRDefault="00A448E0" w:rsidP="00EE513A">
      <w:pPr>
        <w:spacing w:after="0" w:line="240" w:lineRule="auto"/>
      </w:pPr>
      <w:r>
        <w:separator/>
      </w:r>
    </w:p>
  </w:endnote>
  <w:endnote w:type="continuationSeparator" w:id="0">
    <w:p w14:paraId="5704BA80" w14:textId="77777777" w:rsidR="00A448E0" w:rsidRDefault="00A448E0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F08EA">
          <w:rPr>
            <w:rFonts w:ascii="Times New Roman" w:hAnsi="Times New Roman" w:cs="Times New Roman"/>
            <w:noProof/>
            <w:sz w:val="18"/>
            <w:szCs w:val="18"/>
          </w:rPr>
          <w:t>13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84FD5" w14:textId="77777777" w:rsidR="00A448E0" w:rsidRDefault="00A448E0" w:rsidP="00EE513A">
      <w:pPr>
        <w:spacing w:after="0" w:line="240" w:lineRule="auto"/>
      </w:pPr>
      <w:r>
        <w:separator/>
      </w:r>
    </w:p>
  </w:footnote>
  <w:footnote w:type="continuationSeparator" w:id="0">
    <w:p w14:paraId="758C4200" w14:textId="77777777" w:rsidR="00A448E0" w:rsidRDefault="00A448E0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6F8F43DD" w14:textId="77777777" w:rsidR="00F91D7C" w:rsidRDefault="00F91D7C" w:rsidP="00F91D7C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Zmiana 3: Zarządzenie  Nr OR-I. 0050.188.2018</w:t>
    </w:r>
  </w:p>
  <w:p w14:paraId="662B5C62" w14:textId="77777777" w:rsidR="00F91D7C" w:rsidRDefault="00F91D7C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Prezydenta Miasta Opola  z dnia  23 marca  2018 r.</w:t>
    </w: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08EA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8F142A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92DE3"/>
    <w:rsid w:val="00C97C78"/>
    <w:rsid w:val="00CA064A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91D7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AB58-0844-4FBC-83BE-BF74FDBA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3961</Words>
  <Characters>23770</Characters>
  <Application>Microsoft Office Word</Application>
  <DocSecurity>4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Karolina Balcer</cp:lastModifiedBy>
  <cp:revision>2</cp:revision>
  <cp:lastPrinted>2017-04-10T09:57:00Z</cp:lastPrinted>
  <dcterms:created xsi:type="dcterms:W3CDTF">2018-03-27T11:03:00Z</dcterms:created>
  <dcterms:modified xsi:type="dcterms:W3CDTF">2018-03-27T11:03:00Z</dcterms:modified>
</cp:coreProperties>
</file>