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FD3EA" w14:textId="33E0BC50" w:rsidR="00C92DE3" w:rsidRPr="00FB336A" w:rsidRDefault="001D6F26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69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0E757B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0E757B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51883ECA" w:rsidR="00AF2408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E0D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(tekst ujednolicony)</w:t>
      </w:r>
    </w:p>
    <w:p w14:paraId="3CA83168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0E757B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0E757B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1.</w:t>
      </w:r>
      <w:r w:rsidRPr="000E757B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511271B0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ustawie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0E757B">
        <w:rPr>
          <w:rFonts w:ascii="Times New Roman" w:hAnsi="Times New Roman" w:cs="Times New Roman"/>
          <w:sz w:val="24"/>
          <w:szCs w:val="24"/>
        </w:rPr>
        <w:t>1817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E757B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Pr="000E757B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0E757B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0E757B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0E757B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31100E81" w:rsidR="0076497D" w:rsidRPr="000E757B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0E757B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0E757B">
        <w:rPr>
          <w:rFonts w:ascii="Times New Roman" w:hAnsi="Times New Roman" w:cs="Times New Roman"/>
          <w:sz w:val="24"/>
          <w:szCs w:val="24"/>
        </w:rPr>
        <w:t>konkursów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0E757B">
        <w:rPr>
          <w:rFonts w:ascii="Times New Roman" w:hAnsi="Times New Roman" w:cs="Times New Roman"/>
          <w:sz w:val="24"/>
          <w:szCs w:val="24"/>
        </w:rPr>
        <w:t>ofert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0E757B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Konkursie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E02B903" w14:textId="2255DB5B" w:rsidR="00CD42EB" w:rsidRPr="000E757B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Mieście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b/>
          <w:sz w:val="24"/>
          <w:szCs w:val="24"/>
        </w:rPr>
        <w:t>ach</w:t>
      </w:r>
      <w:r w:rsidRPr="000E757B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0E757B">
        <w:rPr>
          <w:rFonts w:ascii="Times New Roman" w:hAnsi="Times New Roman" w:cs="Times New Roman"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sz w:val="24"/>
          <w:szCs w:val="24"/>
        </w:rPr>
        <w:t>y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Prezydencie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0E757B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0E757B">
        <w:rPr>
          <w:rFonts w:ascii="Times New Roman" w:hAnsi="Times New Roman" w:cs="Times New Roman"/>
          <w:sz w:val="24"/>
          <w:szCs w:val="24"/>
        </w:rPr>
        <w:t xml:space="preserve"> Opola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Urzędzie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0E757B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0E757B">
        <w:rPr>
          <w:rFonts w:ascii="Times New Roman" w:hAnsi="Times New Roman" w:cs="Times New Roman"/>
          <w:sz w:val="24"/>
          <w:szCs w:val="24"/>
        </w:rPr>
        <w:t>-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0E757B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0E757B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0E757B">
        <w:rPr>
          <w:rFonts w:ascii="Times New Roman" w:hAnsi="Times New Roman" w:cs="Times New Roman"/>
          <w:sz w:val="24"/>
          <w:szCs w:val="24"/>
        </w:rPr>
        <w:t>zwykł</w:t>
      </w:r>
      <w:r w:rsidR="00A067B8" w:rsidRPr="000E757B">
        <w:rPr>
          <w:rFonts w:ascii="Times New Roman" w:hAnsi="Times New Roman" w:cs="Times New Roman"/>
          <w:sz w:val="24"/>
          <w:szCs w:val="24"/>
        </w:rPr>
        <w:t>ego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0E757B">
        <w:rPr>
          <w:rFonts w:ascii="Times New Roman" w:hAnsi="Times New Roman" w:cs="Times New Roman"/>
          <w:sz w:val="24"/>
          <w:szCs w:val="24"/>
        </w:rPr>
        <w:t>p</w:t>
      </w:r>
      <w:r w:rsidRPr="000E757B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0E757B">
        <w:rPr>
          <w:rFonts w:ascii="Times New Roman" w:hAnsi="Times New Roman" w:cs="Times New Roman"/>
          <w:sz w:val="24"/>
          <w:szCs w:val="24"/>
        </w:rPr>
        <w:t>z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="00E600E9" w:rsidRPr="000E757B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0E757B">
        <w:rPr>
          <w:rFonts w:ascii="Times New Roman" w:hAnsi="Times New Roman" w:cs="Times New Roman"/>
          <w:sz w:val="24"/>
          <w:szCs w:val="24"/>
        </w:rPr>
        <w:t>i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0E757B">
        <w:rPr>
          <w:rFonts w:ascii="Times New Roman" w:hAnsi="Times New Roman" w:cs="Times New Roman"/>
          <w:sz w:val="24"/>
          <w:szCs w:val="24"/>
        </w:rPr>
        <w:t>u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0E757B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0E757B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0E757B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0E757B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0E757B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pomocniczości, suwerenności, partnerstwa, efektywności, uczciwej konkurencji, jawności i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0E757B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0E757B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0E757B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0E757B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0E757B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0E757B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0E757B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Pr="000E757B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0E757B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0E757B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0E757B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0E757B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0E757B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0E757B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0E757B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0E757B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0E757B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0E757B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0E757B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64512E" w14:textId="77777777" w:rsidR="00035C81" w:rsidRPr="000E757B" w:rsidRDefault="002631F6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189CE9" w14:textId="2A66C04D" w:rsidR="00035C81" w:rsidRPr="000E757B" w:rsidRDefault="00035C81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EE52033" w14:textId="0EDA203F" w:rsidR="002631F6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13F92548" w14:textId="4EFF0E58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ECF98C3" w14:textId="1704F492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09D83ADF" w14:textId="0E0F286D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0622CF" w14:textId="13F324E5" w:rsidR="00D72810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</w:p>
    <w:p w14:paraId="3936F7DA" w14:textId="083B7229" w:rsidR="000147E5" w:rsidRPr="000E757B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0E757B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§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0E757B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CFA4C1" w14:textId="751AB3ED" w:rsidR="00806F8E" w:rsidRPr="000E757B" w:rsidRDefault="00806F8E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i załączniki składane w formie elektronicznej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wymagają podpisów elektronicznych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40E3F" w14:textId="657BCEE6" w:rsidR="005C3229" w:rsidRPr="00E416A9" w:rsidRDefault="00806F8E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ofert i załączników składanych wyłącznie w formie elektronicznej następuje z chwilą złożenia w Urzędzie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złożenia oferty, wydrukowanego z Generatora i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pozarządowej.  </w:t>
      </w:r>
    </w:p>
    <w:p w14:paraId="2ED197C4" w14:textId="26587FE0" w:rsidR="00130D6D" w:rsidRPr="000E757B" w:rsidRDefault="00130D6D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korekt ofert oraz potwierdzeń ich złożenia ma zastosowanie ust. 6.</w:t>
      </w:r>
    </w:p>
    <w:p w14:paraId="532C7F5E" w14:textId="63E5AB78" w:rsidR="00CE343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0E757B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063DBB33" w14:textId="77777777" w:rsidR="00C3460A" w:rsidRPr="009971C0" w:rsidRDefault="00C3460A" w:rsidP="00C3460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9a</w:t>
      </w: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Zasady wypełniania ofert.</w:t>
      </w:r>
    </w:p>
    <w:p w14:paraId="09433DA4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Rodzaj zadania publicznego to cel wynikający z programu współpracy  i nie może być tożsamy z tytułem zadania publicznego ogłoszonego w konkursie. </w:t>
      </w:r>
    </w:p>
    <w:p w14:paraId="73A07333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Tytuł zadania publicznego to ustalona przez organizację nazwa własna zadania, która może zawierać nie więcej niż 50 znaków. </w:t>
      </w:r>
    </w:p>
    <w:p w14:paraId="124A52B9" w14:textId="77777777" w:rsidR="00A30D0C" w:rsidRPr="000E757B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086D095A" w:rsidR="00156013" w:rsidRPr="000E757B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719F8388" w14:textId="6B89E911" w:rsidR="0076497D" w:rsidRPr="000E757B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0E757B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0E757B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0E757B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F0ED5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CDF7A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00430280" w:rsidR="001B753F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0E757B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0E757B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0E757B">
        <w:rPr>
          <w:rFonts w:ascii="Times New Roman" w:hAnsi="Times New Roman" w:cs="Times New Roman"/>
          <w:sz w:val="24"/>
          <w:szCs w:val="24"/>
        </w:rPr>
        <w:t>K</w:t>
      </w:r>
      <w:r w:rsidR="00EE32D5" w:rsidRPr="000E757B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0E757B">
        <w:rPr>
          <w:rFonts w:ascii="Times New Roman" w:hAnsi="Times New Roman" w:cs="Times New Roman"/>
          <w:sz w:val="24"/>
          <w:szCs w:val="24"/>
        </w:rPr>
        <w:t>, powołan</w:t>
      </w:r>
      <w:r w:rsidR="00166699" w:rsidRPr="000E757B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0E757B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0E757B">
        <w:rPr>
          <w:rFonts w:ascii="Times New Roman" w:hAnsi="Times New Roman" w:cs="Times New Roman"/>
          <w:sz w:val="24"/>
          <w:szCs w:val="24"/>
        </w:rPr>
        <w:t>w</w:t>
      </w:r>
      <w:r w:rsidR="00741FA8" w:rsidRPr="000E757B">
        <w:rPr>
          <w:rFonts w:ascii="Times New Roman" w:hAnsi="Times New Roman" w:cs="Times New Roman"/>
          <w:sz w:val="24"/>
          <w:szCs w:val="24"/>
        </w:rPr>
        <w:t> 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0E757B">
        <w:rPr>
          <w:rFonts w:ascii="Times New Roman" w:hAnsi="Times New Roman" w:cs="Times New Roman"/>
          <w:sz w:val="24"/>
          <w:szCs w:val="24"/>
        </w:rPr>
        <w:t>K</w:t>
      </w:r>
      <w:r w:rsidRPr="000E757B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0E757B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0E757B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0E757B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0E757B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0E757B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3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0E757B">
        <w:rPr>
          <w:rFonts w:ascii="Times New Roman" w:hAnsi="Times New Roman" w:cs="Times New Roman"/>
          <w:sz w:val="24"/>
          <w:szCs w:val="24"/>
        </w:rPr>
        <w:t>e</w:t>
      </w:r>
      <w:r w:rsidRPr="000E757B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0E757B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0E757B">
        <w:rPr>
          <w:rFonts w:ascii="Times New Roman" w:hAnsi="Times New Roman" w:cs="Times New Roman"/>
          <w:sz w:val="24"/>
          <w:szCs w:val="24"/>
        </w:rPr>
        <w:t>z</w:t>
      </w:r>
      <w:r w:rsidR="00D75AA1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0E757B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4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0E757B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0E757B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Pr="000E757B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0E757B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594006" w:rsidRPr="000E757B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0E757B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0E757B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0E757B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0E757B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9E4936E" w:rsidR="00385246" w:rsidRPr="00E416A9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6871C7D5" w14:textId="23617806" w:rsidR="00751744" w:rsidRPr="000E757B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0E757B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0E757B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0E757B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0E757B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Pr="000E757B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0E757B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0E757B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0E757B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Pr="000E757B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Pr="000E757B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0E757B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0E757B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8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0E757B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0E757B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0E757B">
        <w:rPr>
          <w:rFonts w:ascii="Times New Roman" w:hAnsi="Times New Roman" w:cs="Times New Roman"/>
          <w:sz w:val="24"/>
          <w:szCs w:val="24"/>
        </w:rPr>
        <w:t>oraz ocen</w:t>
      </w:r>
      <w:r w:rsidR="00861234" w:rsidRPr="000E757B">
        <w:rPr>
          <w:rFonts w:ascii="Times New Roman" w:hAnsi="Times New Roman" w:cs="Times New Roman"/>
          <w:sz w:val="24"/>
          <w:szCs w:val="24"/>
        </w:rPr>
        <w:t>ę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0E757B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71771386" w14:textId="7C0F11E3" w:rsidR="00D72810" w:rsidRPr="00E416A9" w:rsidRDefault="00D72810" w:rsidP="00E416A9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1a.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FB9E92F" w14:textId="29939D22" w:rsidR="003D5C46" w:rsidRPr="000E757B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0E757B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0E757B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0E757B">
        <w:rPr>
          <w:rFonts w:ascii="Times New Roman" w:hAnsi="Times New Roman" w:cs="Times New Roman"/>
          <w:sz w:val="24"/>
          <w:szCs w:val="24"/>
        </w:rPr>
        <w:t>za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DF5917" w:rsidRPr="000E757B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0E757B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0E757B">
        <w:rPr>
          <w:rFonts w:ascii="Times New Roman" w:hAnsi="Times New Roman" w:cs="Times New Roman"/>
          <w:sz w:val="24"/>
          <w:szCs w:val="24"/>
        </w:rPr>
        <w:t>nie i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w</w:t>
      </w:r>
      <w:r w:rsidR="005A575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0E757B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0E757B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0E757B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0E757B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0E757B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0E757B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0E757B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0E757B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436C8777" w14:textId="77777777" w:rsidR="00DD2C6B" w:rsidRPr="000E757B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9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0E757B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0E757B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</w:t>
      </w:r>
      <w:r w:rsidR="005452C9" w:rsidRPr="000E757B">
        <w:rPr>
          <w:rFonts w:ascii="Times New Roman" w:hAnsi="Times New Roman" w:cs="Times New Roman"/>
          <w:sz w:val="24"/>
          <w:szCs w:val="24"/>
        </w:rPr>
        <w:t>ormalne</w:t>
      </w:r>
      <w:r w:rsidRPr="000E75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3AF90C58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ferta 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i potwierdzenie jej złożenia w Generatorze zostały złożone </w:t>
      </w:r>
      <w:r w:rsidR="003B0C0D" w:rsidRPr="000E757B">
        <w:rPr>
          <w:rFonts w:ascii="Times New Roman" w:hAnsi="Times New Roman" w:cs="Times New Roman"/>
          <w:sz w:val="24"/>
          <w:szCs w:val="24"/>
        </w:rPr>
        <w:t>w terminie</w:t>
      </w:r>
      <w:r w:rsidR="003B0C0D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1CCC03F1" w:rsidR="003B0C0D" w:rsidRPr="000E757B" w:rsidRDefault="004606F5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oferen</w:t>
      </w:r>
      <w:r w:rsidR="00944667" w:rsidRPr="000E757B">
        <w:rPr>
          <w:rFonts w:ascii="Times New Roman" w:hAnsi="Times New Roman" w:cs="Times New Roman"/>
          <w:sz w:val="24"/>
          <w:szCs w:val="24"/>
        </w:rPr>
        <w:t>t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prowadzi działalność statutową w dziedzinie objętej konkursem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59BFEAB9" w:rsidR="003B0C0D" w:rsidRDefault="00E600E9" w:rsidP="00720FB6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5EB2625" w14:textId="77777777" w:rsidR="00E416A9" w:rsidRPr="000E757B" w:rsidRDefault="00E416A9" w:rsidP="00E416A9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0E757B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m</w:t>
      </w:r>
      <w:r w:rsidR="00B54FA6" w:rsidRPr="000E757B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0E757B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3A16EF3" w14:textId="629EA9CB" w:rsidR="00944667" w:rsidRPr="000E757B" w:rsidRDefault="008D43BC" w:rsidP="00944667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>Zgodność oferty z ogłoszeniem na wsparcie / powierzenie</w:t>
      </w:r>
      <w:r w:rsidR="00944667" w:rsidRPr="00E416A9">
        <w:rPr>
          <w:rFonts w:ascii="Times New Roman" w:hAnsi="Times New Roman" w:cs="Times New Roman"/>
          <w:sz w:val="24"/>
          <w:szCs w:val="24"/>
        </w:rPr>
        <w:t>;</w:t>
      </w:r>
    </w:p>
    <w:p w14:paraId="42D1C884" w14:textId="1446F43B" w:rsidR="00752629" w:rsidRPr="00E416A9" w:rsidRDefault="008D43BC" w:rsidP="008D43BC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 xml:space="preserve">Wskazanie w ofercie zakresu odpłatnej lub  nieodpłatnej działalności pożytku publicznego jeśli organizacja pozarządowa realizuje -  w ramach dotacji - zadania pożytku publicznego odpłatnie  </w:t>
      </w:r>
    </w:p>
    <w:p w14:paraId="2430CB5C" w14:textId="48686A7B" w:rsidR="000B7ABA" w:rsidRPr="000E757B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celowość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</w:t>
      </w:r>
      <w:r w:rsidR="000A00E8" w:rsidRPr="000E757B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0E757B">
        <w:rPr>
          <w:rFonts w:ascii="Times New Roman" w:hAnsi="Times New Roman" w:cs="Times New Roman"/>
          <w:sz w:val="24"/>
          <w:szCs w:val="24"/>
        </w:rPr>
        <w:t>M</w:t>
      </w:r>
      <w:r w:rsidR="000B7ABA" w:rsidRPr="000E757B">
        <w:rPr>
          <w:rFonts w:ascii="Times New Roman" w:hAnsi="Times New Roman" w:cs="Times New Roman"/>
          <w:sz w:val="24"/>
          <w:szCs w:val="24"/>
        </w:rPr>
        <w:t>iasta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r</w:t>
      </w:r>
      <w:r w:rsidR="000B7ABA" w:rsidRPr="000E757B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t</w:t>
      </w:r>
      <w:r w:rsidR="000B7ABA" w:rsidRPr="000E757B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0E757B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0E757B">
        <w:rPr>
          <w:rFonts w:ascii="Times New Roman" w:hAnsi="Times New Roman" w:cs="Times New Roman"/>
          <w:sz w:val="24"/>
          <w:szCs w:val="24"/>
        </w:rPr>
        <w:t>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d</w:t>
      </w:r>
      <w:r w:rsidR="00A93267" w:rsidRPr="000E757B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0E757B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0E757B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finansowe</w:t>
      </w:r>
      <w:r w:rsidR="00B54FA6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E443C" w14:textId="77777777" w:rsidR="002631F6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s</w:t>
      </w:r>
      <w:r w:rsidR="003B0C0D" w:rsidRPr="000E757B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2631F6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94521D2" w14:textId="0CB2830A" w:rsidR="003B0C0D" w:rsidRPr="00E416A9" w:rsidRDefault="00D72810" w:rsidP="00E416A9">
      <w:pPr>
        <w:pStyle w:val="Akapitzlist"/>
        <w:numPr>
          <w:ilvl w:val="0"/>
          <w:numId w:val="33"/>
        </w:numPr>
        <w:tabs>
          <w:tab w:val="left" w:pos="993"/>
          <w:tab w:val="left" w:pos="1134"/>
        </w:tabs>
        <w:spacing w:after="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kwalifikowalności kosztów wskazanych w </w:t>
      </w:r>
      <w:r w:rsidR="002631F6" w:rsidRPr="000E757B">
        <w:rPr>
          <w:rFonts w:ascii="Times New Roman" w:hAnsi="Times New Roman" w:cs="Times New Roman"/>
          <w:sz w:val="24"/>
          <w:szCs w:val="24"/>
        </w:rPr>
        <w:t>ofercie</w:t>
      </w:r>
      <w:r w:rsidRPr="000E757B">
        <w:rPr>
          <w:rFonts w:ascii="Times New Roman" w:hAnsi="Times New Roman" w:cs="Times New Roman"/>
          <w:sz w:val="24"/>
          <w:szCs w:val="24"/>
        </w:rPr>
        <w:t>.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0E757B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0E757B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0E757B">
        <w:rPr>
          <w:rFonts w:ascii="Times New Roman" w:hAnsi="Times New Roman" w:cs="Times New Roman"/>
          <w:sz w:val="24"/>
          <w:szCs w:val="24"/>
        </w:rPr>
        <w:t>w</w:t>
      </w:r>
      <w:r w:rsidR="003C4C86" w:rsidRPr="000E757B">
        <w:rPr>
          <w:rFonts w:ascii="Times New Roman" w:hAnsi="Times New Roman" w:cs="Times New Roman"/>
          <w:sz w:val="24"/>
          <w:szCs w:val="24"/>
        </w:rPr>
        <w:t>spółprac</w:t>
      </w:r>
      <w:r w:rsidRPr="000E757B">
        <w:rPr>
          <w:rFonts w:ascii="Times New Roman" w:hAnsi="Times New Roman" w:cs="Times New Roman"/>
          <w:sz w:val="24"/>
          <w:szCs w:val="24"/>
        </w:rPr>
        <w:t>ę</w:t>
      </w:r>
      <w:r w:rsidR="003B0C0D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16B4FDB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C4295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0A00E8" w:rsidRPr="000E757B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0E757B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 w:rsidRPr="000E757B">
        <w:rPr>
          <w:rFonts w:ascii="Times New Roman" w:hAnsi="Times New Roman" w:cs="Times New Roman"/>
          <w:sz w:val="24"/>
          <w:szCs w:val="24"/>
        </w:rPr>
        <w:t> </w:t>
      </w:r>
      <w:r w:rsidR="003B0C0D" w:rsidRPr="000E757B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0E757B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0E757B">
        <w:t>p</w:t>
      </w:r>
      <w:r w:rsidR="003B0C0D" w:rsidRPr="000E757B">
        <w:t xml:space="preserve">otwierdzenie udziału </w:t>
      </w:r>
      <w:r w:rsidR="000A00E8" w:rsidRPr="000E757B">
        <w:t>nieformalnych p</w:t>
      </w:r>
      <w:r w:rsidR="003B0C0D" w:rsidRPr="000E757B">
        <w:t>artnerów listem intencyjnym lub umową o</w:t>
      </w:r>
      <w:r w:rsidR="000A00E8" w:rsidRPr="000E757B">
        <w:t> </w:t>
      </w:r>
      <w:r w:rsidR="003B0C0D" w:rsidRPr="000E757B">
        <w:t xml:space="preserve">współpracy przy realizacji </w:t>
      </w:r>
      <w:r w:rsidR="00DF262A" w:rsidRPr="000E757B">
        <w:t>zadania publicznego</w:t>
      </w:r>
      <w:r w:rsidR="004606F5" w:rsidRPr="000E757B">
        <w:t>;</w:t>
      </w:r>
      <w:r w:rsidR="003B0C0D" w:rsidRPr="000E757B">
        <w:t xml:space="preserve">  </w:t>
      </w:r>
    </w:p>
    <w:p w14:paraId="2D29DD4C" w14:textId="6B348B4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0E757B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35530" w14:textId="381EF461" w:rsidR="00D72810" w:rsidRPr="00E416A9" w:rsidRDefault="00E600E9" w:rsidP="00D7281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0E757B">
        <w:rPr>
          <w:rFonts w:ascii="Times New Roman" w:hAnsi="Times New Roman" w:cs="Times New Roman"/>
          <w:sz w:val="24"/>
          <w:szCs w:val="24"/>
        </w:rPr>
        <w:t>merytoryczn</w:t>
      </w:r>
      <w:r w:rsidRPr="000E757B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0E757B">
        <w:rPr>
          <w:rFonts w:ascii="Times New Roman" w:hAnsi="Times New Roman" w:cs="Times New Roman"/>
          <w:sz w:val="24"/>
          <w:szCs w:val="24"/>
        </w:rPr>
        <w:t>za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0E757B">
        <w:rPr>
          <w:rFonts w:ascii="Times New Roman" w:hAnsi="Times New Roman" w:cs="Times New Roman"/>
          <w:sz w:val="24"/>
          <w:szCs w:val="24"/>
        </w:rPr>
        <w:t>ę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0E757B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0E757B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Maksymalną liczbę punktów za realizację poszczególnych kryteriów określa Załącznik nr 2 do niniejszego Regulaminu. </w:t>
      </w:r>
    </w:p>
    <w:p w14:paraId="2B0ADF64" w14:textId="3759D6B3" w:rsidR="00D9541F" w:rsidRPr="000E757B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5 </w:t>
      </w:r>
      <w:r w:rsidR="00861234" w:rsidRPr="000E757B">
        <w:rPr>
          <w:rFonts w:ascii="Times New Roman" w:hAnsi="Times New Roman" w:cs="Times New Roman"/>
          <w:sz w:val="24"/>
          <w:szCs w:val="24"/>
        </w:rPr>
        <w:t>pkt 2 niniejszego Regulaminu</w:t>
      </w:r>
      <w:r w:rsidRPr="000E757B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0E757B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354C8E92" w:rsidR="00182302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§ 19a. </w:t>
      </w:r>
      <w:r w:rsidR="006A15FD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550644E3" w14:textId="143D77A1" w:rsidR="006A15FD" w:rsidRPr="000E757B" w:rsidRDefault="006A15FD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4A2E9953" w14:textId="49382485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6102A84A" w14:textId="4D8C65B6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14:paraId="1954572A" w14:textId="77777777" w:rsidR="00D72810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0E757B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0E757B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0E757B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Pr="000E757B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Pr="000E757B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0E757B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Pr="000E757B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7ADB92AE" w14:textId="77777777" w:rsidR="007E2F0E" w:rsidRPr="000E757B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0E757B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Pr="000E757B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0E757B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0E757B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0E757B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0E757B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0E757B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68363D7" w14:textId="5E3DDF15" w:rsidR="00097902" w:rsidRPr="000E757B" w:rsidRDefault="0009790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4A9F599E" w14:textId="387662F2" w:rsidR="00097902" w:rsidRPr="000E757B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3CE959A6" w14:textId="0C8E501F" w:rsidR="007E2F0E" w:rsidRPr="00E416A9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</w:t>
      </w:r>
      <w:proofErr w:type="spellStart"/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3A92E57C" w14:textId="7E6E13E7" w:rsidR="00097902" w:rsidRPr="000E757B" w:rsidRDefault="00097902" w:rsidP="00E416A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7A9180" w14:textId="77777777" w:rsidR="00097902" w:rsidRPr="000E757B" w:rsidRDefault="00097902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0E757B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0A95F405" w14:textId="0540BED1" w:rsidR="000F1BA0" w:rsidRPr="000E757B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0E757B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5FFE93E1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Pr="000E757B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0E757B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0E757B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4772C7F" w14:textId="749ED5F1" w:rsidR="000715CB" w:rsidRPr="000E757B" w:rsidRDefault="000715CB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7D2BEDA5" w14:textId="01BE936D" w:rsidR="00CF57C3" w:rsidRPr="000E757B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0E757B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0E757B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0E757B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0E757B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3D54F1C9" w14:textId="77777777" w:rsidR="00A31DB9" w:rsidRPr="000E757B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0472E7E7" w:rsidR="000B7ABA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0E757B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0E757B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4EB99A47" w14:textId="3030E3B8" w:rsidR="00CF2445" w:rsidRPr="000E757B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0E757B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0E757B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0E757B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0F143372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5C303490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0E757B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0E757B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0E757B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E416A9" w:rsidRDefault="005452C9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0E757B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0E757B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0E757B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0E757B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03E4" w14:textId="77777777" w:rsidR="00A82FAC" w:rsidRPr="00E416A9" w:rsidRDefault="00A82FAC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4AA4667D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logo Miasta, </w:t>
      </w:r>
      <w:r w:rsidR="00FB336A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którym jest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0E757B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0E757B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8" w:history="1">
        <w:r w:rsidR="008B49CD" w:rsidRPr="000E7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67BBD897" w:rsidR="004D0B06" w:rsidRPr="000E757B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0E757B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E416A9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E4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34A2D" w14:textId="3644D4A0" w:rsidR="00D75AA1" w:rsidRPr="000E757B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BE35F" w14:textId="1FFCB037" w:rsidR="00A82FAC" w:rsidRPr="000E757B" w:rsidRDefault="00A900BA" w:rsidP="00E416A9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1F2E9C57" w14:textId="77777777" w:rsidR="00A82FAC" w:rsidRPr="000E757B" w:rsidRDefault="00A82FA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0E757B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0E757B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0E757B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0E757B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0E757B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0E757B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0E757B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0E757B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Pr="000E757B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0E757B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0E757B">
        <w:rPr>
          <w:rFonts w:ascii="Times New Roman" w:hAnsi="Times New Roman" w:cs="Times New Roman"/>
          <w:sz w:val="24"/>
          <w:szCs w:val="24"/>
        </w:rPr>
        <w:t> </w:t>
      </w:r>
      <w:r w:rsidR="00230480" w:rsidRPr="000E757B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0E757B">
        <w:rPr>
          <w:rFonts w:ascii="Times New Roman" w:hAnsi="Times New Roman" w:cs="Times New Roman"/>
          <w:sz w:val="24"/>
          <w:szCs w:val="24"/>
        </w:rPr>
        <w:t>z zakresu</w:t>
      </w:r>
      <w:r w:rsidR="009B7FA4"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0E757B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0E757B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0E757B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0E757B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0E757B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0E757B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0E757B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0E757B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hAnsi="Times New Roman" w:cs="Times New Roman"/>
          <w:sz w:val="24"/>
          <w:szCs w:val="24"/>
        </w:rPr>
        <w:t>Z</w:t>
      </w:r>
      <w:r w:rsidR="00EF7E1B" w:rsidRPr="000E757B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0E757B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0E757B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0E757B">
        <w:rPr>
          <w:rFonts w:ascii="Times New Roman" w:hAnsi="Times New Roman" w:cs="Times New Roman"/>
          <w:sz w:val="24"/>
          <w:szCs w:val="24"/>
        </w:rPr>
        <w:t>.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46341" w14:textId="77777777" w:rsidR="00A448E0" w:rsidRDefault="00A448E0" w:rsidP="00EE513A">
      <w:pPr>
        <w:spacing w:after="0" w:line="240" w:lineRule="auto"/>
      </w:pPr>
      <w:r>
        <w:separator/>
      </w:r>
    </w:p>
  </w:endnote>
  <w:endnote w:type="continuationSeparator" w:id="0">
    <w:p w14:paraId="5704BA80" w14:textId="77777777" w:rsidR="00A448E0" w:rsidRDefault="00A448E0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2BDFF2D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971C0">
          <w:rPr>
            <w:rFonts w:ascii="Times New Roman" w:hAnsi="Times New Roman" w:cs="Times New Roman"/>
            <w:noProof/>
            <w:sz w:val="18"/>
            <w:szCs w:val="18"/>
          </w:rPr>
          <w:t>12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84FD5" w14:textId="77777777" w:rsidR="00A448E0" w:rsidRDefault="00A448E0" w:rsidP="00EE513A">
      <w:pPr>
        <w:spacing w:after="0" w:line="240" w:lineRule="auto"/>
      </w:pPr>
      <w:r>
        <w:separator/>
      </w:r>
    </w:p>
  </w:footnote>
  <w:footnote w:type="continuationSeparator" w:id="0">
    <w:p w14:paraId="758C4200" w14:textId="77777777" w:rsidR="00A448E0" w:rsidRDefault="00A448E0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C35CF" w14:textId="3C00E98D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67AEB3DD" w14:textId="1DF89EEE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64433812" w14:textId="24BD4E12" w:rsidR="00606624" w:rsidRPr="00E416A9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01CB0547" w14:textId="360645A3" w:rsidR="00606624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11D64917" w14:textId="186A305C" w:rsidR="00C3460A" w:rsidRPr="009971C0" w:rsidRDefault="00C3460A" w:rsidP="00C3460A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Zmiana 2: Zarządzenie  Nr OR-I. 0050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.799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.2017</w:t>
    </w:r>
  </w:p>
  <w:p w14:paraId="64BEC069" w14:textId="4761530C" w:rsidR="00C3460A" w:rsidRPr="009971C0" w:rsidRDefault="00C3460A" w:rsidP="00C3460A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29 listopada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 2017 r.</w:t>
    </w:r>
  </w:p>
  <w:p w14:paraId="4F3A7CE5" w14:textId="77777777" w:rsidR="00C3460A" w:rsidRPr="00E416A9" w:rsidRDefault="00C3460A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</w:p>
  <w:p w14:paraId="7893FA7A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4" w15:restartNumberingAfterBreak="0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 w15:restartNumberingAfterBreak="0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0"/>
  </w:num>
  <w:num w:numId="3">
    <w:abstractNumId w:val="35"/>
  </w:num>
  <w:num w:numId="4">
    <w:abstractNumId w:val="43"/>
  </w:num>
  <w:num w:numId="5">
    <w:abstractNumId w:val="10"/>
  </w:num>
  <w:num w:numId="6">
    <w:abstractNumId w:val="12"/>
  </w:num>
  <w:num w:numId="7">
    <w:abstractNumId w:val="30"/>
  </w:num>
  <w:num w:numId="8">
    <w:abstractNumId w:val="18"/>
  </w:num>
  <w:num w:numId="9">
    <w:abstractNumId w:val="3"/>
  </w:num>
  <w:num w:numId="10">
    <w:abstractNumId w:val="39"/>
  </w:num>
  <w:num w:numId="11">
    <w:abstractNumId w:val="19"/>
  </w:num>
  <w:num w:numId="12">
    <w:abstractNumId w:val="27"/>
  </w:num>
  <w:num w:numId="13">
    <w:abstractNumId w:val="5"/>
  </w:num>
  <w:num w:numId="14">
    <w:abstractNumId w:val="46"/>
  </w:num>
  <w:num w:numId="15">
    <w:abstractNumId w:val="2"/>
  </w:num>
  <w:num w:numId="16">
    <w:abstractNumId w:val="8"/>
  </w:num>
  <w:num w:numId="17">
    <w:abstractNumId w:val="26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1"/>
  </w:num>
  <w:num w:numId="24">
    <w:abstractNumId w:val="9"/>
  </w:num>
  <w:num w:numId="25">
    <w:abstractNumId w:val="29"/>
  </w:num>
  <w:num w:numId="26">
    <w:abstractNumId w:val="40"/>
  </w:num>
  <w:num w:numId="27">
    <w:abstractNumId w:val="36"/>
  </w:num>
  <w:num w:numId="28">
    <w:abstractNumId w:val="33"/>
  </w:num>
  <w:num w:numId="29">
    <w:abstractNumId w:val="37"/>
  </w:num>
  <w:num w:numId="30">
    <w:abstractNumId w:val="45"/>
  </w:num>
  <w:num w:numId="31">
    <w:abstractNumId w:val="20"/>
  </w:num>
  <w:num w:numId="32">
    <w:abstractNumId w:val="7"/>
  </w:num>
  <w:num w:numId="33">
    <w:abstractNumId w:val="17"/>
  </w:num>
  <w:num w:numId="34">
    <w:abstractNumId w:val="32"/>
  </w:num>
  <w:num w:numId="35">
    <w:abstractNumId w:val="11"/>
  </w:num>
  <w:num w:numId="36">
    <w:abstractNumId w:val="15"/>
  </w:num>
  <w:num w:numId="37">
    <w:abstractNumId w:val="48"/>
  </w:num>
  <w:num w:numId="38">
    <w:abstractNumId w:val="22"/>
  </w:num>
  <w:num w:numId="39">
    <w:abstractNumId w:val="31"/>
  </w:num>
  <w:num w:numId="40">
    <w:abstractNumId w:val="38"/>
  </w:num>
  <w:num w:numId="41">
    <w:abstractNumId w:val="4"/>
  </w:num>
  <w:num w:numId="42">
    <w:abstractNumId w:val="42"/>
  </w:num>
  <w:num w:numId="43">
    <w:abstractNumId w:val="23"/>
  </w:num>
  <w:num w:numId="44">
    <w:abstractNumId w:val="41"/>
  </w:num>
  <w:num w:numId="45">
    <w:abstractNumId w:val="21"/>
  </w:num>
  <w:num w:numId="46">
    <w:abstractNumId w:val="49"/>
  </w:num>
  <w:num w:numId="47">
    <w:abstractNumId w:val="47"/>
  </w:num>
  <w:num w:numId="48">
    <w:abstractNumId w:val="14"/>
  </w:num>
  <w:num w:numId="49">
    <w:abstractNumId w:val="24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1D6F26"/>
    <w:rsid w:val="00224158"/>
    <w:rsid w:val="00230480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606624"/>
    <w:rsid w:val="00623E61"/>
    <w:rsid w:val="00636EE4"/>
    <w:rsid w:val="00663311"/>
    <w:rsid w:val="006657E5"/>
    <w:rsid w:val="00670552"/>
    <w:rsid w:val="006739E3"/>
    <w:rsid w:val="00685FBB"/>
    <w:rsid w:val="00687CC8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685D"/>
    <w:rsid w:val="007B2712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932FC9"/>
    <w:rsid w:val="00933CB3"/>
    <w:rsid w:val="009428E1"/>
    <w:rsid w:val="00944667"/>
    <w:rsid w:val="0095391E"/>
    <w:rsid w:val="00961201"/>
    <w:rsid w:val="0098025C"/>
    <w:rsid w:val="009851E7"/>
    <w:rsid w:val="009971C0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2FAC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3460A"/>
    <w:rsid w:val="00C42956"/>
    <w:rsid w:val="00C451D9"/>
    <w:rsid w:val="00C56E95"/>
    <w:rsid w:val="00C92DE3"/>
    <w:rsid w:val="00C97C78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0DA7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B336A"/>
    <w:rsid w:val="00FB6471"/>
    <w:rsid w:val="00FC213B"/>
    <w:rsid w:val="00FC4601"/>
    <w:rsid w:val="00FD112E"/>
    <w:rsid w:val="00FD2E8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  <w15:docId w15:val="{124921B8-A10D-4BAC-9AB2-3490BCBF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54244-062A-41FC-933D-290F19ED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</TotalTime>
  <Pages>12</Pages>
  <Words>3949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Grażyna Lech</cp:lastModifiedBy>
  <cp:revision>118</cp:revision>
  <cp:lastPrinted>2017-04-10T09:57:00Z</cp:lastPrinted>
  <dcterms:created xsi:type="dcterms:W3CDTF">2015-08-20T08:04:00Z</dcterms:created>
  <dcterms:modified xsi:type="dcterms:W3CDTF">2017-12-04T07:09:00Z</dcterms:modified>
</cp:coreProperties>
</file>