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46E" w:rsidRDefault="002B646E" w:rsidP="002B646E">
      <w:pPr>
        <w:pStyle w:val="Tekstpodstawowy21"/>
        <w:ind w:left="0" w:firstLine="0"/>
        <w:rPr>
          <w:rFonts w:ascii="Tahoma" w:hAnsi="Tahoma" w:cs="Tahoma"/>
          <w:sz w:val="16"/>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 xml:space="preserve">           </w:t>
      </w:r>
      <w:r>
        <w:rPr>
          <w:rFonts w:ascii="Tahoma" w:hAnsi="Tahoma" w:cs="Tahoma"/>
          <w:sz w:val="16"/>
        </w:rPr>
        <w:tab/>
      </w:r>
      <w:r>
        <w:rPr>
          <w:rFonts w:ascii="Tahoma" w:hAnsi="Tahoma" w:cs="Tahoma"/>
          <w:sz w:val="16"/>
        </w:rPr>
        <w:tab/>
        <w:t>Załącznik nr 1.</w:t>
      </w:r>
    </w:p>
    <w:p w:rsidR="002B646E" w:rsidRDefault="002B646E" w:rsidP="00C112DC">
      <w:pPr>
        <w:pStyle w:val="Tekstpodstawowy21"/>
        <w:ind w:left="0" w:firstLine="0"/>
        <w:rPr>
          <w:rFonts w:ascii="Tahoma" w:hAnsi="Tahoma" w:cs="Tahoma"/>
          <w:sz w:val="16"/>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bookmarkStart w:id="0" w:name="_GoBack"/>
      <w:bookmarkEnd w:id="0"/>
    </w:p>
    <w:p w:rsidR="002B646E" w:rsidRPr="00C621DA" w:rsidRDefault="002B646E" w:rsidP="002B646E">
      <w:pPr>
        <w:pStyle w:val="Tekstpodstawowy21"/>
        <w:spacing w:line="240" w:lineRule="auto"/>
        <w:ind w:left="0" w:firstLine="0"/>
        <w:rPr>
          <w:rFonts w:ascii="Tahoma" w:hAnsi="Tahoma" w:cs="Tahoma"/>
          <w:b/>
          <w:sz w:val="28"/>
          <w:szCs w:val="28"/>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b/>
          <w:sz w:val="28"/>
          <w:szCs w:val="28"/>
        </w:rPr>
        <w:t>WYTYCZNE  DO PROJEKTOWANIA</w:t>
      </w:r>
    </w:p>
    <w:p w:rsidR="002B646E" w:rsidRPr="005422A8" w:rsidRDefault="002B646E" w:rsidP="002B646E">
      <w:pPr>
        <w:pStyle w:val="Tekstpodstawowy21"/>
        <w:spacing w:line="240" w:lineRule="auto"/>
        <w:ind w:left="0" w:firstLine="360"/>
        <w:rPr>
          <w:rFonts w:ascii="Tahoma" w:hAnsi="Tahoma" w:cs="Tahoma"/>
          <w:b/>
          <w:sz w:val="24"/>
          <w:szCs w:val="24"/>
        </w:rPr>
      </w:pPr>
      <w:r w:rsidRPr="005422A8">
        <w:rPr>
          <w:rFonts w:ascii="Tahoma" w:hAnsi="Tahoma" w:cs="Tahoma"/>
          <w:b/>
          <w:sz w:val="24"/>
          <w:szCs w:val="24"/>
        </w:rPr>
        <w:t>Projekt techniczny winien zawierać</w:t>
      </w:r>
      <w:r>
        <w:rPr>
          <w:rFonts w:ascii="Tahoma" w:hAnsi="Tahoma" w:cs="Tahoma"/>
          <w:b/>
          <w:sz w:val="24"/>
          <w:szCs w:val="24"/>
        </w:rPr>
        <w:t xml:space="preserve"> w szczególności:</w:t>
      </w:r>
    </w:p>
    <w:p w:rsidR="002B646E" w:rsidRDefault="002B646E" w:rsidP="002B646E">
      <w:pPr>
        <w:pStyle w:val="Tekstpodstawowy21"/>
        <w:numPr>
          <w:ilvl w:val="0"/>
          <w:numId w:val="1"/>
        </w:numPr>
        <w:spacing w:line="240" w:lineRule="auto"/>
        <w:rPr>
          <w:rFonts w:ascii="Tahoma" w:hAnsi="Tahoma" w:cs="Tahoma"/>
          <w:sz w:val="24"/>
          <w:szCs w:val="24"/>
        </w:rPr>
      </w:pPr>
      <w:r>
        <w:rPr>
          <w:rFonts w:ascii="Tahoma" w:hAnsi="Tahoma" w:cs="Tahoma"/>
          <w:sz w:val="24"/>
          <w:szCs w:val="24"/>
        </w:rPr>
        <w:t>wrysowaną orientację projektowanego zadania w terenie,</w:t>
      </w:r>
    </w:p>
    <w:p w:rsidR="002B646E" w:rsidRDefault="002B646E" w:rsidP="002B646E">
      <w:pPr>
        <w:pStyle w:val="Tekstpodstawowy21"/>
        <w:numPr>
          <w:ilvl w:val="0"/>
          <w:numId w:val="1"/>
        </w:numPr>
        <w:spacing w:line="240" w:lineRule="auto"/>
        <w:rPr>
          <w:rFonts w:ascii="Tahoma" w:hAnsi="Tahoma" w:cs="Tahoma"/>
          <w:sz w:val="24"/>
          <w:szCs w:val="24"/>
        </w:rPr>
      </w:pPr>
      <w:r>
        <w:rPr>
          <w:rFonts w:ascii="Tahoma" w:hAnsi="Tahoma" w:cs="Tahoma"/>
          <w:sz w:val="24"/>
          <w:szCs w:val="24"/>
        </w:rPr>
        <w:t>mapę ewidencyjną gruntu w wersji papierowej i elektronicznej z naniesioną trasą projektowanego zadania i wyeksponowaniem nr. działek, na których występuje inwestycja,</w:t>
      </w:r>
    </w:p>
    <w:p w:rsidR="002B646E" w:rsidRDefault="002B646E" w:rsidP="002B646E">
      <w:pPr>
        <w:pStyle w:val="Tekstpodstawowy21"/>
        <w:numPr>
          <w:ilvl w:val="0"/>
          <w:numId w:val="1"/>
        </w:numPr>
        <w:spacing w:line="240" w:lineRule="auto"/>
        <w:rPr>
          <w:rFonts w:ascii="Tahoma" w:hAnsi="Tahoma" w:cs="Tahoma"/>
          <w:sz w:val="24"/>
          <w:szCs w:val="24"/>
        </w:rPr>
      </w:pPr>
      <w:r>
        <w:rPr>
          <w:rFonts w:ascii="Tahoma" w:hAnsi="Tahoma" w:cs="Tahoma"/>
          <w:sz w:val="24"/>
          <w:szCs w:val="24"/>
        </w:rPr>
        <w:t>zgody właścicieli działek na lokalizację inwestycji na ich terenie,</w:t>
      </w:r>
    </w:p>
    <w:p w:rsidR="002B646E" w:rsidRDefault="002B646E" w:rsidP="002B646E">
      <w:pPr>
        <w:pStyle w:val="Tekstpodstawowy21"/>
        <w:numPr>
          <w:ilvl w:val="0"/>
          <w:numId w:val="1"/>
        </w:numPr>
        <w:spacing w:line="240" w:lineRule="auto"/>
        <w:rPr>
          <w:rFonts w:ascii="Tahoma" w:hAnsi="Tahoma" w:cs="Tahoma"/>
          <w:sz w:val="24"/>
          <w:szCs w:val="24"/>
        </w:rPr>
      </w:pPr>
      <w:r>
        <w:rPr>
          <w:rFonts w:ascii="Tahoma" w:hAnsi="Tahoma" w:cs="Tahoma"/>
          <w:sz w:val="24"/>
          <w:szCs w:val="24"/>
        </w:rPr>
        <w:t>wypis z rejestru gruntów obejmujący wszystkie działki zajęte pod zadanie,</w:t>
      </w:r>
    </w:p>
    <w:p w:rsidR="002B646E" w:rsidRDefault="002B646E" w:rsidP="002B646E">
      <w:pPr>
        <w:pStyle w:val="Tekstpodstawowy21"/>
        <w:numPr>
          <w:ilvl w:val="0"/>
          <w:numId w:val="1"/>
        </w:numPr>
        <w:spacing w:line="240" w:lineRule="auto"/>
        <w:rPr>
          <w:rFonts w:ascii="Tahoma" w:hAnsi="Tahoma" w:cs="Tahoma"/>
          <w:sz w:val="24"/>
          <w:szCs w:val="24"/>
        </w:rPr>
      </w:pPr>
      <w:r>
        <w:rPr>
          <w:rFonts w:ascii="Tahoma" w:hAnsi="Tahoma" w:cs="Tahoma"/>
          <w:sz w:val="24"/>
          <w:szCs w:val="24"/>
        </w:rPr>
        <w:t xml:space="preserve">moc zainstalowaną oświetlenia projektowanego - różnicowa ( moc przyłączeniowa pomniejszona o moc istniejącego oświetlenia przeznaczonego do demontażu) </w:t>
      </w:r>
    </w:p>
    <w:p w:rsidR="002B646E" w:rsidRDefault="002B646E" w:rsidP="002B646E">
      <w:pPr>
        <w:pStyle w:val="Tekstpodstawowy21"/>
        <w:numPr>
          <w:ilvl w:val="0"/>
          <w:numId w:val="1"/>
        </w:numPr>
        <w:spacing w:line="240" w:lineRule="auto"/>
        <w:ind w:right="-77"/>
        <w:rPr>
          <w:rFonts w:ascii="Tahoma" w:hAnsi="Tahoma" w:cs="Tahoma"/>
          <w:sz w:val="24"/>
          <w:szCs w:val="24"/>
        </w:rPr>
      </w:pPr>
      <w:r>
        <w:rPr>
          <w:rFonts w:ascii="Tahoma" w:hAnsi="Tahoma" w:cs="Tahoma"/>
          <w:sz w:val="24"/>
          <w:szCs w:val="24"/>
        </w:rPr>
        <w:t xml:space="preserve">projekt – plan zagospodarowania na mapie sytuacyjno-wysokościowej w skali </w:t>
      </w:r>
      <w:r>
        <w:rPr>
          <w:rFonts w:ascii="Tahoma" w:hAnsi="Tahoma" w:cs="Tahoma"/>
          <w:sz w:val="24"/>
          <w:szCs w:val="24"/>
        </w:rPr>
        <w:br/>
        <w:t xml:space="preserve">1 : 500 w wersji papierowej i elektronicznej edytowalnej ( format </w:t>
      </w:r>
      <w:proofErr w:type="spellStart"/>
      <w:r>
        <w:rPr>
          <w:rFonts w:ascii="Tahoma" w:hAnsi="Tahoma" w:cs="Tahoma"/>
          <w:sz w:val="24"/>
          <w:szCs w:val="24"/>
        </w:rPr>
        <w:t>dwg</w:t>
      </w:r>
      <w:proofErr w:type="spellEnd"/>
      <w:r>
        <w:rPr>
          <w:rFonts w:ascii="Tahoma" w:hAnsi="Tahoma" w:cs="Tahoma"/>
          <w:sz w:val="24"/>
          <w:szCs w:val="24"/>
        </w:rPr>
        <w:t>) Lokalizacja latarń winna być zaprojektowana z określeniem współrzędnych X, Y, np. w formie tabelarycznej w układzie współrzędnych 2000,</w:t>
      </w:r>
    </w:p>
    <w:p w:rsidR="002B646E" w:rsidRDefault="002B646E" w:rsidP="002B646E">
      <w:pPr>
        <w:pStyle w:val="Tekstpodstawowy21"/>
        <w:numPr>
          <w:ilvl w:val="0"/>
          <w:numId w:val="1"/>
        </w:numPr>
        <w:spacing w:line="240" w:lineRule="auto"/>
        <w:ind w:right="-77"/>
        <w:rPr>
          <w:rFonts w:ascii="Tahoma" w:hAnsi="Tahoma" w:cs="Tahoma"/>
          <w:sz w:val="24"/>
          <w:szCs w:val="24"/>
        </w:rPr>
      </w:pPr>
      <w:r>
        <w:rPr>
          <w:rFonts w:ascii="Tahoma" w:hAnsi="Tahoma" w:cs="Tahoma"/>
          <w:sz w:val="24"/>
          <w:szCs w:val="24"/>
        </w:rPr>
        <w:t>projekt inteligentnego sterowania oświetleniem zgodny z unijnymi wytycznymi zawartymi w projekcie e-</w:t>
      </w:r>
      <w:proofErr w:type="spellStart"/>
      <w:r>
        <w:rPr>
          <w:rFonts w:ascii="Tahoma" w:hAnsi="Tahoma" w:cs="Tahoma"/>
          <w:sz w:val="24"/>
          <w:szCs w:val="24"/>
        </w:rPr>
        <w:t>streetlight</w:t>
      </w:r>
      <w:proofErr w:type="spellEnd"/>
      <w:r>
        <w:rPr>
          <w:rFonts w:ascii="Tahoma" w:hAnsi="Tahoma" w:cs="Tahoma"/>
          <w:sz w:val="24"/>
          <w:szCs w:val="24"/>
        </w:rPr>
        <w:t xml:space="preserve"> pozwalającymi łączyć i zamiennie stosować produkty różnych firm,</w:t>
      </w:r>
    </w:p>
    <w:p w:rsidR="002B646E" w:rsidRDefault="002B646E" w:rsidP="002B646E">
      <w:pPr>
        <w:pStyle w:val="Tekstpodstawowy21"/>
        <w:numPr>
          <w:ilvl w:val="0"/>
          <w:numId w:val="1"/>
        </w:numPr>
        <w:spacing w:line="240" w:lineRule="auto"/>
        <w:ind w:right="-77"/>
        <w:rPr>
          <w:rFonts w:ascii="Tahoma" w:hAnsi="Tahoma" w:cs="Tahoma"/>
          <w:sz w:val="24"/>
          <w:szCs w:val="24"/>
        </w:rPr>
      </w:pPr>
      <w:r>
        <w:rPr>
          <w:rFonts w:ascii="Tahoma" w:hAnsi="Tahoma" w:cs="Tahoma"/>
          <w:sz w:val="24"/>
          <w:szCs w:val="24"/>
        </w:rPr>
        <w:t xml:space="preserve">schemat oświetlenia w układzie topograficznym zasilania i sterowania wykonany </w:t>
      </w:r>
      <w:r w:rsidRPr="00864BFB">
        <w:rPr>
          <w:rFonts w:ascii="Tahoma" w:hAnsi="Tahoma" w:cs="Tahoma"/>
          <w:b/>
          <w:sz w:val="24"/>
          <w:szCs w:val="24"/>
        </w:rPr>
        <w:t>metodą tradycyjną</w:t>
      </w:r>
      <w:r>
        <w:rPr>
          <w:rFonts w:ascii="Tahoma" w:hAnsi="Tahoma" w:cs="Tahoma"/>
          <w:sz w:val="24"/>
          <w:szCs w:val="24"/>
        </w:rPr>
        <w:t>,</w:t>
      </w:r>
    </w:p>
    <w:p w:rsidR="002B646E" w:rsidRDefault="002B646E" w:rsidP="002B646E">
      <w:pPr>
        <w:pStyle w:val="Tekstpodstawowy21"/>
        <w:numPr>
          <w:ilvl w:val="0"/>
          <w:numId w:val="1"/>
        </w:numPr>
        <w:spacing w:line="240" w:lineRule="auto"/>
        <w:ind w:right="-77"/>
        <w:rPr>
          <w:rFonts w:ascii="Tahoma" w:hAnsi="Tahoma" w:cs="Tahoma"/>
          <w:sz w:val="24"/>
          <w:szCs w:val="24"/>
        </w:rPr>
      </w:pPr>
      <w:r>
        <w:rPr>
          <w:rFonts w:ascii="Tahoma" w:hAnsi="Tahoma" w:cs="Tahoma"/>
          <w:sz w:val="24"/>
          <w:szCs w:val="24"/>
        </w:rPr>
        <w:t>uzgodnienia Zakładu Energetycznego, Miejskiego Zarządu Dróg w Opolu, opinie Narady Koordynacyjnej (dawnego Zespołu Uzgadniania Dokumentacji),</w:t>
      </w:r>
    </w:p>
    <w:p w:rsidR="002B646E" w:rsidRDefault="002B646E" w:rsidP="002B646E">
      <w:pPr>
        <w:pStyle w:val="Tekstpodstawowy21"/>
        <w:numPr>
          <w:ilvl w:val="0"/>
          <w:numId w:val="1"/>
        </w:numPr>
        <w:spacing w:line="240" w:lineRule="auto"/>
        <w:ind w:right="-77"/>
        <w:rPr>
          <w:rFonts w:ascii="Tahoma" w:hAnsi="Tahoma" w:cs="Tahoma"/>
          <w:sz w:val="24"/>
          <w:szCs w:val="24"/>
        </w:rPr>
      </w:pPr>
      <w:r w:rsidRPr="009065C2">
        <w:rPr>
          <w:rFonts w:ascii="Tahoma" w:hAnsi="Tahoma" w:cs="Tahoma"/>
          <w:b/>
          <w:sz w:val="24"/>
          <w:szCs w:val="24"/>
        </w:rPr>
        <w:t>obliczenia parametrów oświetleniowych fotometrycznych</w:t>
      </w:r>
      <w:r>
        <w:rPr>
          <w:rFonts w:ascii="Tahoma" w:hAnsi="Tahoma" w:cs="Tahoma"/>
          <w:sz w:val="24"/>
          <w:szCs w:val="24"/>
        </w:rPr>
        <w:t xml:space="preserve"> uwzględniających wybór klas oświetleniowych  dla projektowanego zadania wyliczone zgodnie z normą PN-EN 13201: 2007 . Na podstawie uzyskanych parametrów oświetleniowych należy dokonać wyboru:</w:t>
      </w:r>
    </w:p>
    <w:p w:rsidR="002B646E" w:rsidRDefault="002B646E" w:rsidP="002B646E">
      <w:pPr>
        <w:pStyle w:val="Tekstpodstawowy21"/>
        <w:numPr>
          <w:ilvl w:val="0"/>
          <w:numId w:val="2"/>
        </w:numPr>
        <w:spacing w:line="240" w:lineRule="auto"/>
        <w:ind w:right="-77"/>
        <w:rPr>
          <w:rFonts w:ascii="Tahoma" w:hAnsi="Tahoma" w:cs="Tahoma"/>
          <w:sz w:val="24"/>
          <w:szCs w:val="24"/>
        </w:rPr>
      </w:pPr>
      <w:r>
        <w:rPr>
          <w:rFonts w:ascii="Tahoma" w:hAnsi="Tahoma" w:cs="Tahoma"/>
          <w:sz w:val="24"/>
          <w:szCs w:val="24"/>
        </w:rPr>
        <w:t>sposobu rozmieszczenia opraw oświetleniowych na planie drogi,</w:t>
      </w:r>
    </w:p>
    <w:p w:rsidR="002B646E" w:rsidRDefault="002B646E" w:rsidP="002B646E">
      <w:pPr>
        <w:pStyle w:val="Tekstpodstawowy21"/>
        <w:numPr>
          <w:ilvl w:val="0"/>
          <w:numId w:val="2"/>
        </w:numPr>
        <w:spacing w:line="240" w:lineRule="auto"/>
        <w:ind w:right="-77"/>
        <w:rPr>
          <w:rFonts w:ascii="Tahoma" w:hAnsi="Tahoma" w:cs="Tahoma"/>
          <w:sz w:val="24"/>
          <w:szCs w:val="24"/>
        </w:rPr>
      </w:pPr>
      <w:r>
        <w:rPr>
          <w:rFonts w:ascii="Tahoma" w:hAnsi="Tahoma" w:cs="Tahoma"/>
          <w:sz w:val="24"/>
          <w:szCs w:val="24"/>
        </w:rPr>
        <w:t>typu i mocy opraw świetlnych, ich rozsyłu światłości i strumienia źródła światła,</w:t>
      </w:r>
    </w:p>
    <w:p w:rsidR="002B646E" w:rsidRDefault="002B646E" w:rsidP="002B646E">
      <w:pPr>
        <w:pStyle w:val="Tekstpodstawowy21"/>
        <w:numPr>
          <w:ilvl w:val="0"/>
          <w:numId w:val="2"/>
        </w:numPr>
        <w:spacing w:line="240" w:lineRule="auto"/>
        <w:ind w:right="-77"/>
        <w:rPr>
          <w:rFonts w:ascii="Tahoma" w:hAnsi="Tahoma" w:cs="Tahoma"/>
          <w:sz w:val="24"/>
          <w:szCs w:val="24"/>
        </w:rPr>
      </w:pPr>
      <w:r>
        <w:rPr>
          <w:rFonts w:ascii="Tahoma" w:hAnsi="Tahoma" w:cs="Tahoma"/>
          <w:sz w:val="24"/>
          <w:szCs w:val="24"/>
        </w:rPr>
        <w:t>współczynnika zapasu,</w:t>
      </w:r>
    </w:p>
    <w:p w:rsidR="002B646E" w:rsidRDefault="002B646E" w:rsidP="002B646E">
      <w:pPr>
        <w:pStyle w:val="Tekstpodstawowy21"/>
        <w:numPr>
          <w:ilvl w:val="0"/>
          <w:numId w:val="2"/>
        </w:numPr>
        <w:spacing w:line="240" w:lineRule="auto"/>
        <w:ind w:right="-77"/>
        <w:rPr>
          <w:rFonts w:ascii="Tahoma" w:hAnsi="Tahoma" w:cs="Tahoma"/>
          <w:sz w:val="24"/>
          <w:szCs w:val="24"/>
        </w:rPr>
      </w:pPr>
      <w:r>
        <w:rPr>
          <w:rFonts w:ascii="Tahoma" w:hAnsi="Tahoma" w:cs="Tahoma"/>
          <w:sz w:val="24"/>
          <w:szCs w:val="24"/>
        </w:rPr>
        <w:t>wysokości zawieszenia opraw świetlnych,</w:t>
      </w:r>
    </w:p>
    <w:p w:rsidR="002B646E" w:rsidRDefault="002B646E" w:rsidP="002B646E">
      <w:pPr>
        <w:pStyle w:val="Tekstpodstawowy21"/>
        <w:numPr>
          <w:ilvl w:val="0"/>
          <w:numId w:val="2"/>
        </w:numPr>
        <w:spacing w:line="240" w:lineRule="auto"/>
        <w:ind w:right="-77"/>
        <w:rPr>
          <w:rFonts w:ascii="Tahoma" w:hAnsi="Tahoma" w:cs="Tahoma"/>
          <w:sz w:val="24"/>
          <w:szCs w:val="24"/>
        </w:rPr>
      </w:pPr>
      <w:r>
        <w:rPr>
          <w:rFonts w:ascii="Tahoma" w:hAnsi="Tahoma" w:cs="Tahoma"/>
          <w:sz w:val="24"/>
          <w:szCs w:val="24"/>
        </w:rPr>
        <w:t>kąta pochylenia opraw w stosunku do poziomu.</w:t>
      </w:r>
    </w:p>
    <w:p w:rsidR="002B646E" w:rsidRPr="00F84580" w:rsidRDefault="002B646E" w:rsidP="002B646E">
      <w:pPr>
        <w:pStyle w:val="Tekstpodstawowy21"/>
        <w:numPr>
          <w:ilvl w:val="0"/>
          <w:numId w:val="1"/>
        </w:numPr>
        <w:spacing w:line="240" w:lineRule="auto"/>
        <w:ind w:right="-77"/>
        <w:rPr>
          <w:rFonts w:ascii="Tahoma" w:hAnsi="Tahoma" w:cs="Tahoma"/>
          <w:sz w:val="24"/>
          <w:szCs w:val="24"/>
        </w:rPr>
      </w:pPr>
      <w:r>
        <w:rPr>
          <w:rFonts w:ascii="Tahoma" w:hAnsi="Tahoma" w:cs="Tahoma"/>
          <w:sz w:val="24"/>
          <w:szCs w:val="24"/>
        </w:rPr>
        <w:t>zestawienie materiałów,</w:t>
      </w:r>
    </w:p>
    <w:p w:rsidR="002B646E" w:rsidRDefault="002B646E" w:rsidP="002B646E">
      <w:pPr>
        <w:pStyle w:val="Tekstpodstawowy21"/>
        <w:numPr>
          <w:ilvl w:val="0"/>
          <w:numId w:val="1"/>
        </w:numPr>
        <w:spacing w:line="240" w:lineRule="auto"/>
        <w:ind w:right="-77"/>
        <w:rPr>
          <w:rFonts w:ascii="Tahoma" w:hAnsi="Tahoma" w:cs="Tahoma"/>
          <w:sz w:val="24"/>
          <w:szCs w:val="24"/>
        </w:rPr>
      </w:pPr>
      <w:r>
        <w:rPr>
          <w:rFonts w:ascii="Tahoma" w:hAnsi="Tahoma" w:cs="Tahoma"/>
          <w:sz w:val="24"/>
          <w:szCs w:val="24"/>
        </w:rPr>
        <w:t>kosztorys inwestorski opracowany metodą szczegółową.</w:t>
      </w:r>
    </w:p>
    <w:p w:rsidR="002B646E" w:rsidRPr="00C60113" w:rsidRDefault="002B646E" w:rsidP="002B646E">
      <w:pPr>
        <w:pStyle w:val="Tekstpodstawowy21"/>
        <w:spacing w:line="240" w:lineRule="auto"/>
        <w:ind w:left="0" w:firstLine="0"/>
        <w:rPr>
          <w:rFonts w:cs="Arial"/>
          <w:sz w:val="24"/>
          <w:szCs w:val="24"/>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 xml:space="preserve">           </w:t>
      </w:r>
      <w:r>
        <w:rPr>
          <w:rFonts w:ascii="Tahoma" w:hAnsi="Tahoma" w:cs="Tahoma"/>
          <w:sz w:val="16"/>
        </w:rPr>
        <w:tab/>
      </w:r>
      <w:r>
        <w:rPr>
          <w:rFonts w:ascii="Tahoma" w:hAnsi="Tahoma" w:cs="Tahoma"/>
          <w:sz w:val="16"/>
        </w:rPr>
        <w:tab/>
      </w:r>
    </w:p>
    <w:p w:rsidR="002B646E" w:rsidRPr="004E6A1D" w:rsidRDefault="002B646E" w:rsidP="002B646E">
      <w:pPr>
        <w:widowControl w:val="0"/>
        <w:suppressAutoHyphens w:val="0"/>
        <w:spacing w:before="120" w:after="120"/>
        <w:jc w:val="both"/>
        <w:rPr>
          <w:rFonts w:ascii="Arial" w:hAnsi="Arial" w:cs="Arial"/>
          <w:b/>
          <w:sz w:val="24"/>
          <w:szCs w:val="24"/>
          <w:lang w:eastAsia="pl-PL"/>
        </w:rPr>
      </w:pPr>
      <w:r w:rsidRPr="004E6A1D">
        <w:rPr>
          <w:rFonts w:ascii="Arial" w:hAnsi="Arial" w:cs="Arial"/>
          <w:b/>
          <w:sz w:val="24"/>
          <w:szCs w:val="24"/>
          <w:lang w:eastAsia="pl-PL"/>
        </w:rPr>
        <w:t>Wytyczne techniczne</w:t>
      </w:r>
      <w:r>
        <w:rPr>
          <w:rFonts w:ascii="Arial" w:hAnsi="Arial" w:cs="Arial"/>
          <w:b/>
          <w:sz w:val="24"/>
          <w:szCs w:val="24"/>
          <w:lang w:eastAsia="pl-PL"/>
        </w:rPr>
        <w:t xml:space="preserve"> </w:t>
      </w:r>
      <w:r w:rsidRPr="004E6A1D">
        <w:rPr>
          <w:rFonts w:ascii="Arial" w:hAnsi="Arial" w:cs="Arial"/>
          <w:b/>
          <w:sz w:val="24"/>
          <w:szCs w:val="24"/>
          <w:lang w:eastAsia="pl-PL"/>
        </w:rPr>
        <w:t>do projektowania oświetlenia ulicznego miasta Opola</w:t>
      </w:r>
      <w:r>
        <w:rPr>
          <w:rFonts w:ascii="Arial" w:hAnsi="Arial" w:cs="Arial"/>
          <w:b/>
          <w:sz w:val="24"/>
          <w:szCs w:val="24"/>
          <w:lang w:eastAsia="pl-PL"/>
        </w:rPr>
        <w:t>:</w:t>
      </w:r>
    </w:p>
    <w:p w:rsidR="002B646E" w:rsidRPr="004E6A1D" w:rsidRDefault="002B646E" w:rsidP="002B646E">
      <w:pPr>
        <w:widowControl w:val="0"/>
        <w:suppressAutoHyphens w:val="0"/>
        <w:spacing w:before="120" w:after="120"/>
        <w:jc w:val="both"/>
        <w:rPr>
          <w:rFonts w:ascii="Arial" w:hAnsi="Arial" w:cs="Arial"/>
          <w:b/>
          <w:sz w:val="24"/>
          <w:szCs w:val="24"/>
          <w:lang w:eastAsia="pl-PL"/>
        </w:rPr>
      </w:pPr>
      <w:r w:rsidRPr="004E6A1D">
        <w:rPr>
          <w:rFonts w:ascii="Arial" w:hAnsi="Arial" w:cs="Arial"/>
          <w:b/>
          <w:sz w:val="24"/>
          <w:szCs w:val="24"/>
          <w:lang w:eastAsia="pl-PL"/>
        </w:rPr>
        <w:t>Wymagania techniczne dla opraw typu LED</w:t>
      </w:r>
      <w:r w:rsidRPr="002A45C5">
        <w:rPr>
          <w:rFonts w:ascii="Arial" w:hAnsi="Arial" w:cs="Arial"/>
          <w:b/>
          <w:sz w:val="24"/>
          <w:szCs w:val="24"/>
          <w:lang w:eastAsia="pl-PL"/>
        </w:rPr>
        <w:t>:</w:t>
      </w:r>
    </w:p>
    <w:p w:rsidR="002B646E" w:rsidRPr="004E6A1D" w:rsidRDefault="002B646E" w:rsidP="002B646E">
      <w:pPr>
        <w:widowControl w:val="0"/>
        <w:suppressAutoHyphens w:val="0"/>
        <w:jc w:val="both"/>
        <w:rPr>
          <w:rFonts w:ascii="Arial" w:hAnsi="Arial" w:cs="Arial"/>
          <w:sz w:val="24"/>
          <w:szCs w:val="24"/>
          <w:lang w:eastAsia="pl-PL"/>
        </w:rPr>
      </w:pPr>
      <w:r w:rsidRPr="004E6A1D">
        <w:rPr>
          <w:rFonts w:ascii="Arial" w:hAnsi="Arial" w:cs="Arial"/>
          <w:sz w:val="24"/>
          <w:szCs w:val="24"/>
          <w:lang w:eastAsia="pl-PL"/>
        </w:rPr>
        <w:t>Oprawy typu LED powinny cechować się poniższymi parametrami:</w:t>
      </w:r>
    </w:p>
    <w:p w:rsidR="002B646E" w:rsidRPr="004E6A1D" w:rsidRDefault="002B646E" w:rsidP="002B646E">
      <w:pPr>
        <w:widowControl w:val="0"/>
        <w:numPr>
          <w:ilvl w:val="0"/>
          <w:numId w:val="3"/>
        </w:numPr>
        <w:tabs>
          <w:tab w:val="left" w:pos="284"/>
        </w:tabs>
        <w:suppressAutoHyphens w:val="0"/>
        <w:ind w:hanging="720"/>
        <w:jc w:val="both"/>
        <w:rPr>
          <w:rFonts w:ascii="Arial" w:hAnsi="Arial" w:cs="Arial"/>
          <w:sz w:val="24"/>
          <w:szCs w:val="24"/>
          <w:lang w:eastAsia="pl-PL"/>
        </w:rPr>
      </w:pPr>
      <w:r w:rsidRPr="004E6A1D">
        <w:rPr>
          <w:rFonts w:ascii="Arial" w:hAnsi="Arial" w:cs="Arial"/>
          <w:sz w:val="24"/>
          <w:szCs w:val="24"/>
          <w:lang w:eastAsia="pl-PL"/>
        </w:rPr>
        <w:t>temperatura barwowa użytych diod –  3000 - 5000 K,</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oprawa wykonana z materiałów łatwo przetwarzalnych – aluminium , szkło,</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stopień szczelności układu optycznego IP66, układy zasilającego IP66,</w:t>
      </w:r>
    </w:p>
    <w:p w:rsidR="002B646E" w:rsidRPr="004E6A1D" w:rsidRDefault="002B646E" w:rsidP="002B646E">
      <w:pPr>
        <w:widowControl w:val="0"/>
        <w:numPr>
          <w:ilvl w:val="0"/>
          <w:numId w:val="3"/>
        </w:numPr>
        <w:suppressAutoHyphens w:val="0"/>
        <w:spacing w:before="120" w:after="120"/>
        <w:ind w:left="284" w:hanging="284"/>
        <w:jc w:val="both"/>
        <w:rPr>
          <w:rFonts w:ascii="Arial" w:hAnsi="Arial" w:cs="Arial"/>
          <w:sz w:val="24"/>
          <w:szCs w:val="24"/>
          <w:lang w:eastAsia="pl-PL"/>
        </w:rPr>
      </w:pPr>
      <w:r w:rsidRPr="004E6A1D">
        <w:rPr>
          <w:rFonts w:ascii="Arial" w:hAnsi="Arial" w:cs="Arial"/>
          <w:sz w:val="24"/>
          <w:szCs w:val="24"/>
          <w:lang w:eastAsia="pl-PL"/>
        </w:rPr>
        <w:t>klosz oprawy płaski wykonany z hartowanego szkła, odporny na promieniowanie UV,</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korpus i pokrywa oprawy wykonane z odlewu aluminiowego malowanego proszkowo na wybrany kolor z palety RAL,</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 xml:space="preserve">Oprawa wykonana w I lub II klasie ochronności elektrycznej – skoordynowanej z </w:t>
      </w:r>
      <w:r w:rsidRPr="004E6A1D">
        <w:rPr>
          <w:rFonts w:ascii="Arial" w:hAnsi="Arial" w:cs="Arial"/>
          <w:sz w:val="24"/>
          <w:szCs w:val="24"/>
          <w:lang w:eastAsia="pl-PL"/>
        </w:rPr>
        <w:lastRenderedPageBreak/>
        <w:t xml:space="preserve">przyjętym systemem ochrony przeciwporażeniowej, </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 xml:space="preserve">napięcie zasilania 230V, 50 </w:t>
      </w:r>
      <w:proofErr w:type="spellStart"/>
      <w:r w:rsidRPr="004E6A1D">
        <w:rPr>
          <w:rFonts w:ascii="Arial" w:hAnsi="Arial" w:cs="Arial"/>
          <w:sz w:val="24"/>
          <w:szCs w:val="24"/>
          <w:lang w:eastAsia="pl-PL"/>
        </w:rPr>
        <w:t>Hz</w:t>
      </w:r>
      <w:proofErr w:type="spellEnd"/>
      <w:r w:rsidRPr="004E6A1D">
        <w:rPr>
          <w:rFonts w:ascii="Arial" w:hAnsi="Arial" w:cs="Arial"/>
          <w:sz w:val="24"/>
          <w:szCs w:val="24"/>
          <w:lang w:eastAsia="pl-PL"/>
        </w:rPr>
        <w:t>,</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budowa oprawy pozwalająca na szybką wymianę układu optycznego oraz modułu zasilającego</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oprawa wyposażona w system optymalnego odprowadzania ciepła ( termiczne rozdzielenie pomiędzy układem zasilającym a układem optycznym), oraz czujnik termiczny zapobiegający przypadkowemu przegrzaniu,</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oprawa wyposażona w uniwersalny uchwyt pozwalający na montaż na wysięgniku jak i bezpośrednio na słupie oraz pozwalający na zmianę kąta nachylenia oprawy,</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oprawa wyposażona w układ ochrony przeciwprzepięciowej ,</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źródła światła LED o skuteczności świetlnej powyżej 100 lm/W,</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oprawy dostosowane do systemu inteligentnego sterowania  – wyposażone w sterowniki lokalne,</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 xml:space="preserve">wymagana gwarancja producenta na oprawę jako całość, w tym osprzęt elektryczny – minimum 5 lat, </w:t>
      </w:r>
    </w:p>
    <w:p w:rsidR="002B646E" w:rsidRPr="00C60113"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wymagany certyfikat CE oraz ENCE.</w:t>
      </w:r>
    </w:p>
    <w:p w:rsidR="002B646E" w:rsidRPr="004E6A1D" w:rsidRDefault="002B646E" w:rsidP="002B646E">
      <w:pPr>
        <w:widowControl w:val="0"/>
        <w:suppressAutoHyphens w:val="0"/>
        <w:jc w:val="both"/>
        <w:rPr>
          <w:rFonts w:ascii="Arial" w:hAnsi="Arial" w:cs="Arial"/>
          <w:b/>
          <w:sz w:val="24"/>
          <w:szCs w:val="24"/>
          <w:lang w:eastAsia="pl-PL"/>
        </w:rPr>
      </w:pPr>
      <w:r w:rsidRPr="004E6A1D">
        <w:rPr>
          <w:rFonts w:ascii="Arial" w:hAnsi="Arial" w:cs="Arial"/>
          <w:b/>
          <w:sz w:val="24"/>
          <w:szCs w:val="24"/>
          <w:lang w:eastAsia="pl-PL"/>
        </w:rPr>
        <w:t>Wymagania techniczne dla konstrukcji słupowych latarń</w:t>
      </w:r>
      <w:r>
        <w:rPr>
          <w:rFonts w:ascii="Arial" w:hAnsi="Arial" w:cs="Arial"/>
          <w:b/>
          <w:sz w:val="24"/>
          <w:szCs w:val="24"/>
          <w:lang w:eastAsia="pl-PL"/>
        </w:rPr>
        <w:t>:</w:t>
      </w:r>
    </w:p>
    <w:p w:rsidR="002B646E" w:rsidRPr="004E6A1D" w:rsidRDefault="002B646E" w:rsidP="002B646E">
      <w:pPr>
        <w:widowControl w:val="0"/>
        <w:suppressAutoHyphens w:val="0"/>
        <w:jc w:val="both"/>
        <w:rPr>
          <w:rFonts w:ascii="Arial" w:hAnsi="Arial" w:cs="Arial"/>
          <w:sz w:val="24"/>
          <w:szCs w:val="24"/>
          <w:lang w:eastAsia="pl-PL"/>
        </w:rPr>
      </w:pPr>
      <w:r w:rsidRPr="004E6A1D">
        <w:rPr>
          <w:rFonts w:ascii="Arial" w:hAnsi="Arial" w:cs="Arial"/>
          <w:sz w:val="24"/>
          <w:szCs w:val="24"/>
          <w:lang w:eastAsia="pl-PL"/>
        </w:rPr>
        <w:t>Słupy  latarń powinny cechować się poniższymi parametrami:</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słupy aluminiowe bez szwu, cylindryczne, stożkowe z wnęką na tabliczkę słupową, montowane na fundamencie prefabrykowanym,</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zabezpieczenie antykorozyjne wykonane metodą anodowania,</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 xml:space="preserve">fundamenty prefabrykowane, </w:t>
      </w:r>
      <w:proofErr w:type="spellStart"/>
      <w:r w:rsidRPr="004E6A1D">
        <w:rPr>
          <w:rFonts w:ascii="Arial" w:hAnsi="Arial" w:cs="Arial"/>
          <w:sz w:val="24"/>
          <w:szCs w:val="24"/>
          <w:lang w:eastAsia="pl-PL"/>
        </w:rPr>
        <w:t>abizolowane</w:t>
      </w:r>
      <w:proofErr w:type="spellEnd"/>
      <w:r w:rsidRPr="004E6A1D">
        <w:rPr>
          <w:rFonts w:ascii="Arial" w:hAnsi="Arial" w:cs="Arial"/>
          <w:sz w:val="24"/>
          <w:szCs w:val="24"/>
          <w:lang w:eastAsia="pl-PL"/>
        </w:rPr>
        <w:t>,  dostosowane do typu słupów                   – posiadające certyfikat producenta słupa,</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wysięgniki opraw gięte – łukowe – dostosowane do funkcji oświetleniowej latarni,</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wymagany certyfikat CE,</w:t>
      </w:r>
    </w:p>
    <w:p w:rsidR="002B646E" w:rsidRPr="004E6A1D"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gwarancja na słupy anodowane 10 lat przy</w:t>
      </w:r>
      <w:r>
        <w:rPr>
          <w:rFonts w:ascii="Arial" w:hAnsi="Arial" w:cs="Arial"/>
          <w:sz w:val="24"/>
          <w:szCs w:val="24"/>
          <w:lang w:eastAsia="pl-PL"/>
        </w:rPr>
        <w:t xml:space="preserve"> grubości powłoki anodowania 25µ</w:t>
      </w:r>
      <w:r w:rsidRPr="004E6A1D">
        <w:rPr>
          <w:rFonts w:ascii="Arial" w:hAnsi="Arial" w:cs="Arial"/>
          <w:sz w:val="24"/>
          <w:szCs w:val="24"/>
          <w:lang w:eastAsia="pl-PL"/>
        </w:rPr>
        <w:t>m,</w:t>
      </w:r>
    </w:p>
    <w:p w:rsidR="002B646E" w:rsidRPr="004C3EC6" w:rsidRDefault="002B646E" w:rsidP="002B646E">
      <w:pPr>
        <w:widowControl w:val="0"/>
        <w:numPr>
          <w:ilvl w:val="0"/>
          <w:numId w:val="3"/>
        </w:numPr>
        <w:suppressAutoHyphens w:val="0"/>
        <w:ind w:left="284" w:hanging="284"/>
        <w:jc w:val="both"/>
        <w:rPr>
          <w:rFonts w:ascii="Arial" w:hAnsi="Arial" w:cs="Arial"/>
          <w:sz w:val="24"/>
          <w:szCs w:val="24"/>
          <w:lang w:eastAsia="pl-PL"/>
        </w:rPr>
      </w:pPr>
      <w:r w:rsidRPr="004E6A1D">
        <w:rPr>
          <w:rFonts w:ascii="Arial" w:hAnsi="Arial" w:cs="Arial"/>
          <w:sz w:val="24"/>
          <w:szCs w:val="24"/>
          <w:lang w:eastAsia="pl-PL"/>
        </w:rPr>
        <w:t>latarnie wyposażyć w rozdzielcze tabliczki zabezpieczeniowe w obudowie izolacyjnej z bezpiecznikami 1/2/3 x 2A. Oprawy oświetleniowe z tabliczkami bezpiecznikowymi łączyć przewodami typu YDY 3x2,5 mm</w:t>
      </w:r>
      <w:r w:rsidRPr="004E6A1D">
        <w:rPr>
          <w:rFonts w:ascii="Arial" w:hAnsi="Arial" w:cs="Arial"/>
          <w:sz w:val="24"/>
          <w:szCs w:val="24"/>
          <w:vertAlign w:val="superscript"/>
          <w:lang w:eastAsia="pl-PL"/>
        </w:rPr>
        <w:t>2</w:t>
      </w:r>
      <w:r w:rsidRPr="004E6A1D">
        <w:rPr>
          <w:rFonts w:ascii="Arial" w:hAnsi="Arial" w:cs="Arial"/>
          <w:sz w:val="24"/>
          <w:szCs w:val="24"/>
          <w:lang w:eastAsia="pl-PL"/>
        </w:rPr>
        <w:t xml:space="preserve"> – 750V prowadzonymi w giętkiej rurce izolacyjnej ,</w:t>
      </w:r>
    </w:p>
    <w:p w:rsidR="002B646E" w:rsidRPr="004E6A1D" w:rsidRDefault="002B646E" w:rsidP="002B646E">
      <w:pPr>
        <w:widowControl w:val="0"/>
        <w:suppressAutoHyphens w:val="0"/>
        <w:spacing w:before="120" w:after="120"/>
        <w:jc w:val="both"/>
        <w:rPr>
          <w:rFonts w:ascii="Arial" w:hAnsi="Arial" w:cs="Arial"/>
          <w:b/>
          <w:sz w:val="24"/>
          <w:szCs w:val="24"/>
          <w:lang w:eastAsia="pl-PL"/>
        </w:rPr>
      </w:pPr>
      <w:r w:rsidRPr="004E6A1D">
        <w:rPr>
          <w:rFonts w:ascii="Arial" w:hAnsi="Arial" w:cs="Arial"/>
          <w:b/>
          <w:sz w:val="24"/>
          <w:szCs w:val="24"/>
          <w:lang w:eastAsia="pl-PL"/>
        </w:rPr>
        <w:t>Wymagania techniczne dla obwodowych linii kablowych</w:t>
      </w:r>
      <w:r>
        <w:rPr>
          <w:rFonts w:ascii="Arial" w:hAnsi="Arial" w:cs="Arial"/>
          <w:b/>
          <w:sz w:val="24"/>
          <w:szCs w:val="24"/>
          <w:lang w:eastAsia="pl-PL"/>
        </w:rPr>
        <w:t>:</w:t>
      </w:r>
    </w:p>
    <w:p w:rsidR="002B646E" w:rsidRPr="004C3EC6" w:rsidRDefault="002B646E" w:rsidP="002B646E">
      <w:pPr>
        <w:widowControl w:val="0"/>
        <w:suppressAutoHyphens w:val="0"/>
        <w:spacing w:before="120" w:after="120"/>
        <w:jc w:val="both"/>
        <w:rPr>
          <w:rFonts w:ascii="Arial" w:hAnsi="Arial" w:cs="Arial"/>
          <w:sz w:val="24"/>
          <w:szCs w:val="24"/>
          <w:lang w:eastAsia="pl-PL"/>
        </w:rPr>
      </w:pPr>
      <w:r w:rsidRPr="004E6A1D">
        <w:rPr>
          <w:rFonts w:ascii="Arial" w:hAnsi="Arial" w:cs="Arial"/>
          <w:sz w:val="24"/>
          <w:szCs w:val="24"/>
          <w:lang w:eastAsia="pl-PL"/>
        </w:rPr>
        <w:t xml:space="preserve">Do budowy linii kablowych obwodów oświetleniowych należy stosować kable elektroenergetyczne  typu Y(A)KXS – 0,6/1,0 </w:t>
      </w:r>
      <w:proofErr w:type="spellStart"/>
      <w:r w:rsidRPr="004E6A1D">
        <w:rPr>
          <w:rFonts w:ascii="Arial" w:hAnsi="Arial" w:cs="Arial"/>
          <w:sz w:val="24"/>
          <w:szCs w:val="24"/>
          <w:lang w:eastAsia="pl-PL"/>
        </w:rPr>
        <w:t>kV</w:t>
      </w:r>
      <w:proofErr w:type="spellEnd"/>
      <w:r w:rsidRPr="004E6A1D">
        <w:rPr>
          <w:rFonts w:ascii="Arial" w:hAnsi="Arial" w:cs="Arial"/>
          <w:sz w:val="24"/>
          <w:szCs w:val="24"/>
          <w:lang w:eastAsia="pl-PL"/>
        </w:rPr>
        <w:t>.</w:t>
      </w:r>
    </w:p>
    <w:p w:rsidR="002B646E" w:rsidRPr="004C3EC6" w:rsidRDefault="002B646E" w:rsidP="002B646E">
      <w:pPr>
        <w:widowControl w:val="0"/>
        <w:suppressAutoHyphens w:val="0"/>
        <w:spacing w:before="120" w:after="120"/>
        <w:jc w:val="both"/>
        <w:rPr>
          <w:rFonts w:ascii="Arial" w:hAnsi="Arial" w:cs="Arial"/>
          <w:b/>
          <w:sz w:val="24"/>
          <w:szCs w:val="24"/>
          <w:lang w:eastAsia="pl-PL"/>
        </w:rPr>
      </w:pPr>
      <w:r w:rsidRPr="00A71B42">
        <w:rPr>
          <w:rFonts w:ascii="Arial" w:hAnsi="Arial" w:cs="Arial"/>
          <w:b/>
          <w:sz w:val="24"/>
          <w:szCs w:val="24"/>
          <w:lang w:eastAsia="pl-PL"/>
        </w:rPr>
        <w:t>Wymagania dla przejść dla pieszych:</w:t>
      </w:r>
    </w:p>
    <w:p w:rsidR="002B646E" w:rsidRPr="004E6A1D" w:rsidRDefault="002B646E" w:rsidP="002B646E">
      <w:pPr>
        <w:pStyle w:val="Tekstpodstawowy21"/>
        <w:spacing w:before="120" w:after="120" w:line="240" w:lineRule="auto"/>
        <w:ind w:left="0" w:right="-79" w:firstLine="0"/>
        <w:rPr>
          <w:rFonts w:cs="Arial"/>
          <w:sz w:val="24"/>
          <w:szCs w:val="24"/>
        </w:rPr>
      </w:pPr>
      <w:r w:rsidRPr="005A5A51">
        <w:rPr>
          <w:rFonts w:cs="Arial"/>
          <w:sz w:val="24"/>
          <w:szCs w:val="24"/>
        </w:rPr>
        <w:t>Każde przejście dla pieszych powinno być odpowiednio oświetlone zgodnie z  normą PN-EN 13201 : 2007. Lampy oświetlające przejście należy usytuować od strony nadjeżdżającego pojazdu w odległości 0,7 – 1,0 wysokości zawieszenia oprawy lampy ( h : a = 1 : 0,7  gdzie h – oznacza wysokość zawieszenia oprawy świetlnej,  a – oznacza odległość posadowienia słupa oprawy świetlej od osi wyznaczającej połowę szerokości przejścia dla pieszych. Barwa światła emitowana przez oprawy lamp na przejściu dla pieszych powinna być odmienna od barwy oświetlenia ulicznego. Urządzenia oświetleniowe winny zapewnić kontrast luminancji postaci pieszego oraz tła za pieszym, który  znajduje się na przejściu lub oczekuje na przejście na poboczu lub chodniku.</w:t>
      </w:r>
    </w:p>
    <w:p w:rsidR="002B646E" w:rsidRPr="004E6A1D" w:rsidRDefault="002B646E" w:rsidP="002B646E">
      <w:pPr>
        <w:widowControl w:val="0"/>
        <w:suppressAutoHyphens w:val="0"/>
        <w:spacing w:before="120" w:after="120"/>
        <w:jc w:val="both"/>
        <w:rPr>
          <w:rFonts w:ascii="Arial" w:hAnsi="Arial" w:cs="Arial"/>
          <w:b/>
          <w:sz w:val="24"/>
          <w:szCs w:val="24"/>
          <w:lang w:eastAsia="pl-PL"/>
        </w:rPr>
      </w:pPr>
      <w:r>
        <w:rPr>
          <w:rFonts w:ascii="Arial" w:hAnsi="Arial" w:cs="Arial"/>
          <w:b/>
          <w:sz w:val="24"/>
          <w:szCs w:val="24"/>
          <w:lang w:eastAsia="pl-PL"/>
        </w:rPr>
        <w:t>Wymagania dla sterowania</w:t>
      </w:r>
      <w:r w:rsidRPr="004E6A1D">
        <w:rPr>
          <w:rFonts w:ascii="Arial" w:hAnsi="Arial" w:cs="Arial"/>
          <w:b/>
          <w:sz w:val="24"/>
          <w:szCs w:val="24"/>
          <w:lang w:eastAsia="pl-PL"/>
        </w:rPr>
        <w:t xml:space="preserve"> oświetleniem</w:t>
      </w:r>
      <w:r>
        <w:rPr>
          <w:rFonts w:ascii="Arial" w:hAnsi="Arial" w:cs="Arial"/>
          <w:b/>
          <w:sz w:val="24"/>
          <w:szCs w:val="24"/>
          <w:lang w:eastAsia="pl-PL"/>
        </w:rPr>
        <w:t>:</w:t>
      </w:r>
      <w:r w:rsidRPr="004E6A1D">
        <w:rPr>
          <w:rFonts w:ascii="Arial" w:hAnsi="Arial" w:cs="Arial"/>
          <w:b/>
          <w:sz w:val="24"/>
          <w:szCs w:val="24"/>
          <w:lang w:eastAsia="pl-PL"/>
        </w:rPr>
        <w:t xml:space="preserve"> </w:t>
      </w:r>
    </w:p>
    <w:p w:rsidR="002B646E" w:rsidRPr="004E6A1D" w:rsidRDefault="002B646E" w:rsidP="002B646E">
      <w:pPr>
        <w:widowControl w:val="0"/>
        <w:suppressAutoHyphens w:val="0"/>
        <w:spacing w:before="120" w:after="120"/>
        <w:jc w:val="both"/>
        <w:rPr>
          <w:rFonts w:ascii="Arial" w:hAnsi="Arial" w:cs="Arial"/>
          <w:sz w:val="24"/>
          <w:szCs w:val="24"/>
          <w:lang w:eastAsia="pl-PL"/>
        </w:rPr>
      </w:pPr>
      <w:r w:rsidRPr="004E6A1D">
        <w:rPr>
          <w:rFonts w:ascii="Arial" w:hAnsi="Arial" w:cs="Arial"/>
          <w:sz w:val="24"/>
          <w:szCs w:val="24"/>
          <w:lang w:eastAsia="pl-PL"/>
        </w:rPr>
        <w:t xml:space="preserve">Przewidzieć możliwość zastosowania inteligentnego  systemu sterowania oświetleniem ulicznym . System powinien umożliwiać dostosowanie do zarządzania przez  </w:t>
      </w:r>
      <w:proofErr w:type="spellStart"/>
      <w:r w:rsidRPr="004E6A1D">
        <w:rPr>
          <w:rFonts w:ascii="Arial" w:hAnsi="Arial" w:cs="Arial"/>
          <w:sz w:val="24"/>
          <w:szCs w:val="24"/>
          <w:lang w:eastAsia="pl-PL"/>
        </w:rPr>
        <w:t>internet</w:t>
      </w:r>
      <w:proofErr w:type="spellEnd"/>
      <w:r w:rsidRPr="004E6A1D">
        <w:rPr>
          <w:rFonts w:ascii="Arial" w:hAnsi="Arial" w:cs="Arial"/>
          <w:sz w:val="24"/>
          <w:szCs w:val="24"/>
          <w:lang w:eastAsia="pl-PL"/>
        </w:rPr>
        <w:t xml:space="preserve">  za pomocą zwykłej przeglądarki internetowej . Do systemu sterowania powinny być </w:t>
      </w:r>
      <w:r w:rsidRPr="004E6A1D">
        <w:rPr>
          <w:rFonts w:ascii="Arial" w:hAnsi="Arial" w:cs="Arial"/>
          <w:sz w:val="24"/>
          <w:szCs w:val="24"/>
          <w:lang w:eastAsia="pl-PL"/>
        </w:rPr>
        <w:lastRenderedPageBreak/>
        <w:t>dostosowane oprawy oświetleniowe – wyposażone w sterowniki lokalne.</w:t>
      </w:r>
      <w:r>
        <w:rPr>
          <w:rFonts w:ascii="Arial" w:hAnsi="Arial" w:cs="Arial"/>
          <w:sz w:val="24"/>
          <w:szCs w:val="24"/>
          <w:lang w:eastAsia="pl-PL"/>
        </w:rPr>
        <w:t xml:space="preserve"> </w:t>
      </w:r>
      <w:r w:rsidRPr="004E6A1D">
        <w:rPr>
          <w:rFonts w:ascii="Arial" w:hAnsi="Arial" w:cs="Arial"/>
          <w:sz w:val="24"/>
          <w:szCs w:val="24"/>
          <w:lang w:eastAsia="pl-PL"/>
        </w:rPr>
        <w:t>W szafkach rozdzielczo - sterowniczych należy przewidzieć miejsce do montażu urządzeń do centralnego sterowania oświetleniem.</w:t>
      </w:r>
      <w:r>
        <w:rPr>
          <w:rFonts w:ascii="Arial" w:hAnsi="Arial" w:cs="Arial"/>
          <w:sz w:val="24"/>
          <w:szCs w:val="24"/>
          <w:lang w:eastAsia="pl-PL"/>
        </w:rPr>
        <w:t xml:space="preserve"> </w:t>
      </w:r>
      <w:r w:rsidRPr="004E6A1D">
        <w:rPr>
          <w:rFonts w:ascii="Arial" w:hAnsi="Arial" w:cs="Arial"/>
          <w:sz w:val="24"/>
          <w:szCs w:val="24"/>
          <w:lang w:eastAsia="pl-PL"/>
        </w:rPr>
        <w:t xml:space="preserve">Przy wyborze systemu sterowania należy brać pod uwagę jedynie systemy otwarte. </w:t>
      </w:r>
    </w:p>
    <w:p w:rsidR="002B646E" w:rsidRPr="004E6A1D" w:rsidRDefault="002B646E" w:rsidP="002B646E">
      <w:pPr>
        <w:widowControl w:val="0"/>
        <w:suppressAutoHyphens w:val="0"/>
        <w:spacing w:before="120" w:after="120"/>
        <w:jc w:val="both"/>
        <w:rPr>
          <w:rFonts w:ascii="Arial" w:hAnsi="Arial" w:cs="Arial"/>
          <w:b/>
          <w:sz w:val="24"/>
          <w:szCs w:val="24"/>
          <w:lang w:eastAsia="pl-PL"/>
        </w:rPr>
      </w:pPr>
      <w:r w:rsidRPr="004E6A1D">
        <w:rPr>
          <w:rFonts w:ascii="Arial" w:hAnsi="Arial" w:cs="Arial"/>
          <w:b/>
          <w:sz w:val="24"/>
          <w:szCs w:val="24"/>
          <w:lang w:eastAsia="pl-PL"/>
        </w:rPr>
        <w:t>Ochrona przeciwporażeniowa</w:t>
      </w:r>
      <w:r>
        <w:rPr>
          <w:rFonts w:ascii="Arial" w:hAnsi="Arial" w:cs="Arial"/>
          <w:b/>
          <w:sz w:val="24"/>
          <w:szCs w:val="24"/>
          <w:lang w:eastAsia="pl-PL"/>
        </w:rPr>
        <w:t>:</w:t>
      </w:r>
    </w:p>
    <w:p w:rsidR="002B646E" w:rsidRPr="004E6A1D" w:rsidRDefault="002B646E" w:rsidP="002B646E">
      <w:pPr>
        <w:widowControl w:val="0"/>
        <w:suppressAutoHyphens w:val="0"/>
        <w:spacing w:before="120" w:after="120"/>
        <w:jc w:val="both"/>
        <w:rPr>
          <w:rFonts w:ascii="Arial" w:hAnsi="Arial" w:cs="Arial"/>
          <w:sz w:val="24"/>
          <w:szCs w:val="24"/>
          <w:lang w:eastAsia="pl-PL"/>
        </w:rPr>
      </w:pPr>
      <w:r w:rsidRPr="004E6A1D">
        <w:rPr>
          <w:rFonts w:ascii="Arial" w:hAnsi="Arial" w:cs="Arial"/>
          <w:sz w:val="24"/>
          <w:szCs w:val="24"/>
          <w:lang w:eastAsia="pl-PL"/>
        </w:rPr>
        <w:t>W sieci oświetlenia ulicznego stosować układ TN-C. Ochrona przeciwporażeniowa przez samoczynne szybkie wyłączenie obwodu przez przepalenie – wyłączenie zabezpieczenia w słupie lub szafce oświetlenia ulicznego.</w:t>
      </w:r>
    </w:p>
    <w:p w:rsidR="002B646E" w:rsidRPr="004E6A1D" w:rsidRDefault="002B646E" w:rsidP="002B646E">
      <w:pPr>
        <w:widowControl w:val="0"/>
        <w:suppressAutoHyphens w:val="0"/>
        <w:spacing w:before="120" w:after="120"/>
        <w:jc w:val="both"/>
        <w:rPr>
          <w:rFonts w:ascii="Arial" w:hAnsi="Arial" w:cs="Arial"/>
          <w:sz w:val="24"/>
          <w:szCs w:val="24"/>
          <w:lang w:eastAsia="pl-PL"/>
        </w:rPr>
      </w:pPr>
      <w:r w:rsidRPr="004E6A1D">
        <w:rPr>
          <w:rFonts w:ascii="Arial" w:hAnsi="Arial" w:cs="Arial"/>
          <w:sz w:val="24"/>
          <w:szCs w:val="24"/>
          <w:lang w:eastAsia="pl-PL"/>
        </w:rPr>
        <w:t xml:space="preserve">Dla ochrony przed porażeniem w sytuacji uszkodzenia konstrukcji słupa wskutek kolizji komunikacyjnej  należy zaprojektować instalację uziemiającą konstrukcji słupowych – połączenie z uziomem w formie bednarki Fe/Zn 30x </w:t>
      </w:r>
      <w:smartTag w:uri="urn:schemas-microsoft-com:office:smarttags" w:element="metricconverter">
        <w:smartTagPr>
          <w:attr w:name="ProductID" w:val="4 mm"/>
        </w:smartTagPr>
        <w:r w:rsidRPr="004E6A1D">
          <w:rPr>
            <w:rFonts w:ascii="Arial" w:hAnsi="Arial" w:cs="Arial"/>
            <w:sz w:val="24"/>
            <w:szCs w:val="24"/>
            <w:lang w:eastAsia="pl-PL"/>
          </w:rPr>
          <w:t>4 mm</w:t>
        </w:r>
      </w:smartTag>
      <w:r w:rsidRPr="004E6A1D">
        <w:rPr>
          <w:rFonts w:ascii="Arial" w:hAnsi="Arial" w:cs="Arial"/>
          <w:sz w:val="24"/>
          <w:szCs w:val="24"/>
          <w:lang w:eastAsia="pl-PL"/>
        </w:rPr>
        <w:t xml:space="preserve"> układanej na dnie wykopu w ciągach kablowych obwodów oświetleniowych.</w:t>
      </w:r>
    </w:p>
    <w:p w:rsidR="002B646E" w:rsidRDefault="002B646E" w:rsidP="002B646E">
      <w:pPr>
        <w:pStyle w:val="Tekstpodstawowy21"/>
        <w:spacing w:before="120" w:after="120" w:line="240" w:lineRule="auto"/>
        <w:ind w:left="360" w:right="-77" w:firstLine="0"/>
        <w:rPr>
          <w:rFonts w:cs="Arial"/>
          <w:sz w:val="24"/>
          <w:szCs w:val="24"/>
          <w:lang w:eastAsia="pl-PL"/>
        </w:rPr>
      </w:pPr>
      <w:r w:rsidRPr="004E6A1D">
        <w:rPr>
          <w:rFonts w:cs="Arial"/>
          <w:b/>
          <w:sz w:val="24"/>
          <w:szCs w:val="24"/>
        </w:rPr>
        <w:t>UWAGA: Rozwiązania techniczne i dobór materiałów projektowanego oświetlenia winny być  przedstawiane Zamawiającemu do akceptacji jeszcze na etapie projektowania.</w:t>
      </w:r>
      <w:r w:rsidRPr="004E6A1D">
        <w:rPr>
          <w:rFonts w:cs="Arial"/>
          <w:sz w:val="24"/>
          <w:szCs w:val="24"/>
          <w:lang w:eastAsia="pl-PL"/>
        </w:rPr>
        <w:t xml:space="preserve"> </w:t>
      </w:r>
    </w:p>
    <w:p w:rsidR="002B646E" w:rsidRPr="004E6A1D" w:rsidRDefault="002B646E" w:rsidP="002B646E">
      <w:pPr>
        <w:suppressAutoHyphens w:val="0"/>
        <w:rPr>
          <w:rFonts w:ascii="Arial" w:hAnsi="Arial" w:cs="Arial"/>
          <w:sz w:val="24"/>
          <w:szCs w:val="24"/>
          <w:lang w:eastAsia="pl-PL"/>
        </w:rPr>
      </w:pPr>
    </w:p>
    <w:p w:rsidR="002B646E" w:rsidRPr="00375A0F" w:rsidRDefault="002B646E" w:rsidP="002B646E">
      <w:pPr>
        <w:widowControl w:val="0"/>
        <w:suppressAutoHyphens w:val="0"/>
        <w:rPr>
          <w:rFonts w:ascii="Arial" w:hAnsi="Arial"/>
          <w:b/>
          <w:sz w:val="24"/>
          <w:szCs w:val="24"/>
          <w:lang w:eastAsia="pl-PL"/>
        </w:rPr>
      </w:pPr>
    </w:p>
    <w:p w:rsidR="002B646E" w:rsidRPr="00375A0F" w:rsidRDefault="002B646E" w:rsidP="002B646E">
      <w:pPr>
        <w:widowControl w:val="0"/>
        <w:suppressAutoHyphens w:val="0"/>
        <w:rPr>
          <w:rFonts w:ascii="Arial" w:hAnsi="Arial"/>
          <w:b/>
          <w:sz w:val="24"/>
          <w:szCs w:val="24"/>
          <w:lang w:eastAsia="pl-PL"/>
        </w:rPr>
      </w:pPr>
      <w:r w:rsidRPr="00375A0F">
        <w:rPr>
          <w:rFonts w:ascii="Arial" w:hAnsi="Arial"/>
          <w:b/>
          <w:sz w:val="24"/>
          <w:szCs w:val="24"/>
          <w:lang w:eastAsia="pl-PL"/>
        </w:rPr>
        <w:t>Wymagania techniczne przedstawienia Projektu budowlano – wykonawczego w wersji elektronicznej – na płycie CD</w:t>
      </w:r>
    </w:p>
    <w:p w:rsidR="002B646E" w:rsidRPr="00375A0F" w:rsidRDefault="002B646E" w:rsidP="002B646E">
      <w:pPr>
        <w:widowControl w:val="0"/>
        <w:suppressAutoHyphens w:val="0"/>
        <w:rPr>
          <w:rFonts w:ascii="Arial" w:hAnsi="Arial"/>
          <w:b/>
          <w:sz w:val="24"/>
          <w:szCs w:val="24"/>
          <w:lang w:eastAsia="pl-PL"/>
        </w:rPr>
      </w:pPr>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Projekt w wersji elektronicznej – na płycie CD powinien w pełni odzwierciedlać wersję drukowaną i być wykonany w 2 egz.. Proponujemy organizację projektu w wersji elektronicznej – na płycie CD wg poniższych zasad:</w:t>
      </w:r>
    </w:p>
    <w:p w:rsidR="002B646E" w:rsidRPr="00375A0F" w:rsidRDefault="002B646E" w:rsidP="002B646E">
      <w:pPr>
        <w:widowControl w:val="0"/>
        <w:suppressAutoHyphens w:val="0"/>
        <w:rPr>
          <w:rFonts w:ascii="Arial" w:hAnsi="Arial"/>
          <w:sz w:val="24"/>
          <w:szCs w:val="24"/>
          <w:lang w:eastAsia="pl-PL"/>
        </w:rPr>
      </w:pPr>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 xml:space="preserve">Tytuł: PBW oświetlenia ulicy </w:t>
      </w:r>
      <w:proofErr w:type="spellStart"/>
      <w:r w:rsidRPr="00375A0F">
        <w:rPr>
          <w:rFonts w:ascii="Arial" w:hAnsi="Arial"/>
          <w:sz w:val="24"/>
          <w:szCs w:val="24"/>
          <w:lang w:eastAsia="pl-PL"/>
        </w:rPr>
        <w:t>Xxxxxxxxxx</w:t>
      </w:r>
      <w:proofErr w:type="spellEnd"/>
    </w:p>
    <w:p w:rsidR="002B646E" w:rsidRPr="00375A0F" w:rsidRDefault="002B646E" w:rsidP="002B646E">
      <w:pPr>
        <w:widowControl w:val="0"/>
        <w:suppressAutoHyphens w:val="0"/>
        <w:rPr>
          <w:rFonts w:ascii="Arial" w:hAnsi="Arial"/>
          <w:sz w:val="24"/>
          <w:szCs w:val="24"/>
          <w:lang w:eastAsia="pl-PL"/>
        </w:rPr>
      </w:pPr>
    </w:p>
    <w:p w:rsidR="002B646E" w:rsidRPr="00375A0F" w:rsidRDefault="002B646E" w:rsidP="002B646E">
      <w:pPr>
        <w:widowControl w:val="0"/>
        <w:numPr>
          <w:ilvl w:val="0"/>
          <w:numId w:val="4"/>
        </w:numPr>
        <w:suppressAutoHyphens w:val="0"/>
        <w:rPr>
          <w:rFonts w:ascii="Arial" w:hAnsi="Arial"/>
          <w:sz w:val="24"/>
          <w:szCs w:val="24"/>
          <w:lang w:eastAsia="pl-PL"/>
        </w:rPr>
      </w:pPr>
      <w:r w:rsidRPr="00375A0F">
        <w:rPr>
          <w:rFonts w:ascii="Arial" w:hAnsi="Arial"/>
          <w:sz w:val="24"/>
          <w:szCs w:val="24"/>
          <w:lang w:eastAsia="pl-PL"/>
        </w:rPr>
        <w:t>Wersja PDF</w:t>
      </w:r>
    </w:p>
    <w:p w:rsidR="002B646E" w:rsidRPr="00375A0F" w:rsidRDefault="002B646E" w:rsidP="002B646E">
      <w:pPr>
        <w:widowControl w:val="0"/>
        <w:numPr>
          <w:ilvl w:val="0"/>
          <w:numId w:val="5"/>
        </w:numPr>
        <w:suppressAutoHyphens w:val="0"/>
        <w:rPr>
          <w:rFonts w:ascii="Arial" w:hAnsi="Arial"/>
          <w:sz w:val="24"/>
          <w:szCs w:val="24"/>
          <w:lang w:eastAsia="pl-PL"/>
        </w:rPr>
      </w:pPr>
      <w:r w:rsidRPr="00375A0F">
        <w:rPr>
          <w:rFonts w:ascii="Arial" w:hAnsi="Arial"/>
          <w:sz w:val="24"/>
          <w:szCs w:val="24"/>
          <w:lang w:eastAsia="pl-PL"/>
        </w:rPr>
        <w:t>CZĘŚĆ OPISOWA</w:t>
      </w:r>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Opis techniczny z dokumentacją prawną</w:t>
      </w:r>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STWIORB</w:t>
      </w:r>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Przedmiar Robót</w:t>
      </w:r>
    </w:p>
    <w:p w:rsidR="002B646E" w:rsidRPr="00375A0F" w:rsidRDefault="002B646E" w:rsidP="002B646E">
      <w:pPr>
        <w:widowControl w:val="0"/>
        <w:suppressAutoHyphens w:val="0"/>
        <w:ind w:left="1080" w:hanging="371"/>
        <w:rPr>
          <w:rFonts w:ascii="Arial" w:hAnsi="Arial"/>
          <w:sz w:val="24"/>
          <w:szCs w:val="24"/>
          <w:lang w:eastAsia="pl-PL"/>
        </w:rPr>
      </w:pPr>
      <w:r w:rsidRPr="00375A0F">
        <w:rPr>
          <w:rFonts w:ascii="Arial" w:hAnsi="Arial"/>
          <w:sz w:val="24"/>
          <w:szCs w:val="24"/>
          <w:lang w:eastAsia="pl-PL"/>
        </w:rPr>
        <w:t>02. CZĘŚĆ RYSUNKOWA</w:t>
      </w:r>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Plan sytuacyjny</w:t>
      </w:r>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Schematy</w:t>
      </w:r>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Profile skrzyżowań</w:t>
      </w:r>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xml:space="preserve">- Rysunki wykonawcze pozostałe </w:t>
      </w:r>
    </w:p>
    <w:p w:rsidR="002B646E" w:rsidRPr="00375A0F" w:rsidRDefault="002B646E" w:rsidP="002B646E">
      <w:pPr>
        <w:widowControl w:val="0"/>
        <w:suppressAutoHyphens w:val="0"/>
        <w:ind w:left="720"/>
        <w:rPr>
          <w:rFonts w:ascii="Arial" w:hAnsi="Arial"/>
          <w:sz w:val="24"/>
          <w:szCs w:val="24"/>
          <w:lang w:eastAsia="pl-PL"/>
        </w:rPr>
      </w:pPr>
    </w:p>
    <w:p w:rsidR="002B646E" w:rsidRPr="00375A0F" w:rsidRDefault="002B646E" w:rsidP="002B646E">
      <w:pPr>
        <w:widowControl w:val="0"/>
        <w:numPr>
          <w:ilvl w:val="0"/>
          <w:numId w:val="4"/>
        </w:numPr>
        <w:suppressAutoHyphens w:val="0"/>
        <w:rPr>
          <w:rFonts w:ascii="Arial" w:hAnsi="Arial"/>
          <w:sz w:val="24"/>
          <w:szCs w:val="24"/>
          <w:lang w:eastAsia="pl-PL"/>
        </w:rPr>
      </w:pPr>
      <w:r w:rsidRPr="00375A0F">
        <w:rPr>
          <w:rFonts w:ascii="Arial" w:hAnsi="Arial"/>
          <w:sz w:val="24"/>
          <w:szCs w:val="24"/>
          <w:lang w:eastAsia="pl-PL"/>
        </w:rPr>
        <w:t xml:space="preserve">Wersja edytowalna </w:t>
      </w:r>
    </w:p>
    <w:p w:rsidR="002B646E" w:rsidRPr="00375A0F" w:rsidRDefault="002B646E" w:rsidP="002B646E">
      <w:pPr>
        <w:widowControl w:val="0"/>
        <w:numPr>
          <w:ilvl w:val="0"/>
          <w:numId w:val="5"/>
        </w:numPr>
        <w:suppressAutoHyphens w:val="0"/>
        <w:rPr>
          <w:rFonts w:ascii="Arial" w:hAnsi="Arial"/>
          <w:sz w:val="24"/>
          <w:szCs w:val="24"/>
          <w:lang w:eastAsia="pl-PL"/>
        </w:rPr>
      </w:pPr>
      <w:r w:rsidRPr="00375A0F">
        <w:rPr>
          <w:rFonts w:ascii="Arial" w:hAnsi="Arial"/>
          <w:sz w:val="24"/>
          <w:szCs w:val="24"/>
          <w:lang w:eastAsia="pl-PL"/>
        </w:rPr>
        <w:t>CZĘŚĆ OPISOWA</w:t>
      </w:r>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xml:space="preserve">- Opis techniczny z dokumentacją prawną – format - </w:t>
      </w:r>
      <w:proofErr w:type="spellStart"/>
      <w:r w:rsidRPr="00375A0F">
        <w:rPr>
          <w:rFonts w:ascii="Arial" w:hAnsi="Arial"/>
          <w:sz w:val="24"/>
          <w:szCs w:val="24"/>
          <w:lang w:eastAsia="pl-PL"/>
        </w:rPr>
        <w:t>doc</w:t>
      </w:r>
      <w:proofErr w:type="spellEnd"/>
      <w:r w:rsidRPr="00375A0F">
        <w:rPr>
          <w:rFonts w:ascii="Arial" w:hAnsi="Arial"/>
          <w:sz w:val="24"/>
          <w:szCs w:val="24"/>
          <w:lang w:eastAsia="pl-PL"/>
        </w:rPr>
        <w:t xml:space="preserve">, </w:t>
      </w:r>
      <w:proofErr w:type="spellStart"/>
      <w:r w:rsidRPr="00375A0F">
        <w:rPr>
          <w:rFonts w:ascii="Arial" w:hAnsi="Arial"/>
          <w:sz w:val="24"/>
          <w:szCs w:val="24"/>
          <w:lang w:eastAsia="pl-PL"/>
        </w:rPr>
        <w:t>docx</w:t>
      </w:r>
      <w:proofErr w:type="spellEnd"/>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xml:space="preserve">- STWIORB – format - </w:t>
      </w:r>
      <w:proofErr w:type="spellStart"/>
      <w:r w:rsidRPr="00375A0F">
        <w:rPr>
          <w:rFonts w:ascii="Arial" w:hAnsi="Arial"/>
          <w:sz w:val="24"/>
          <w:szCs w:val="24"/>
          <w:lang w:eastAsia="pl-PL"/>
        </w:rPr>
        <w:t>doc</w:t>
      </w:r>
      <w:proofErr w:type="spellEnd"/>
      <w:r w:rsidRPr="00375A0F">
        <w:rPr>
          <w:rFonts w:ascii="Arial" w:hAnsi="Arial"/>
          <w:sz w:val="24"/>
          <w:szCs w:val="24"/>
          <w:lang w:eastAsia="pl-PL"/>
        </w:rPr>
        <w:t xml:space="preserve">, </w:t>
      </w:r>
      <w:proofErr w:type="spellStart"/>
      <w:r w:rsidRPr="00375A0F">
        <w:rPr>
          <w:rFonts w:ascii="Arial" w:hAnsi="Arial"/>
          <w:sz w:val="24"/>
          <w:szCs w:val="24"/>
          <w:lang w:eastAsia="pl-PL"/>
        </w:rPr>
        <w:t>docx</w:t>
      </w:r>
      <w:proofErr w:type="spellEnd"/>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xml:space="preserve">- Przedmiar Robót – format – </w:t>
      </w:r>
      <w:proofErr w:type="spellStart"/>
      <w:r w:rsidRPr="00375A0F">
        <w:rPr>
          <w:rFonts w:ascii="Arial" w:hAnsi="Arial"/>
          <w:sz w:val="24"/>
          <w:szCs w:val="24"/>
          <w:lang w:eastAsia="pl-PL"/>
        </w:rPr>
        <w:t>ath</w:t>
      </w:r>
      <w:proofErr w:type="spellEnd"/>
    </w:p>
    <w:p w:rsidR="002B646E" w:rsidRPr="00375A0F" w:rsidRDefault="002B646E" w:rsidP="002B646E">
      <w:pPr>
        <w:widowControl w:val="0"/>
        <w:suppressAutoHyphens w:val="0"/>
        <w:ind w:left="1080" w:hanging="371"/>
        <w:rPr>
          <w:rFonts w:ascii="Arial" w:hAnsi="Arial"/>
          <w:sz w:val="24"/>
          <w:szCs w:val="24"/>
          <w:lang w:eastAsia="pl-PL"/>
        </w:rPr>
      </w:pPr>
      <w:r w:rsidRPr="00375A0F">
        <w:rPr>
          <w:rFonts w:ascii="Arial" w:hAnsi="Arial"/>
          <w:sz w:val="24"/>
          <w:szCs w:val="24"/>
          <w:lang w:eastAsia="pl-PL"/>
        </w:rPr>
        <w:t>02. CZĘŚĆ RYSUNKOWA</w:t>
      </w:r>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xml:space="preserve">- Plan sytuacyjny – format - </w:t>
      </w:r>
      <w:proofErr w:type="spellStart"/>
      <w:r w:rsidRPr="00375A0F">
        <w:rPr>
          <w:rFonts w:ascii="Arial" w:hAnsi="Arial"/>
          <w:sz w:val="24"/>
          <w:szCs w:val="24"/>
          <w:lang w:eastAsia="pl-PL"/>
        </w:rPr>
        <w:t>dwg</w:t>
      </w:r>
      <w:proofErr w:type="spellEnd"/>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xml:space="preserve">- Schematy – format - </w:t>
      </w:r>
      <w:proofErr w:type="spellStart"/>
      <w:r w:rsidRPr="00375A0F">
        <w:rPr>
          <w:rFonts w:ascii="Arial" w:hAnsi="Arial"/>
          <w:sz w:val="24"/>
          <w:szCs w:val="24"/>
          <w:lang w:eastAsia="pl-PL"/>
        </w:rPr>
        <w:t>dwg</w:t>
      </w:r>
      <w:proofErr w:type="spellEnd"/>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xml:space="preserve">- Profile skrzyżowań – format - </w:t>
      </w:r>
      <w:proofErr w:type="spellStart"/>
      <w:r w:rsidRPr="00375A0F">
        <w:rPr>
          <w:rFonts w:ascii="Arial" w:hAnsi="Arial"/>
          <w:sz w:val="24"/>
          <w:szCs w:val="24"/>
          <w:lang w:eastAsia="pl-PL"/>
        </w:rPr>
        <w:t>dwg</w:t>
      </w:r>
      <w:proofErr w:type="spellEnd"/>
    </w:p>
    <w:p w:rsidR="002B646E" w:rsidRPr="00375A0F" w:rsidRDefault="002B646E" w:rsidP="002B646E">
      <w:pPr>
        <w:widowControl w:val="0"/>
        <w:suppressAutoHyphens w:val="0"/>
        <w:ind w:left="1080" w:hanging="87"/>
        <w:rPr>
          <w:rFonts w:ascii="Arial" w:hAnsi="Arial"/>
          <w:sz w:val="24"/>
          <w:szCs w:val="24"/>
          <w:lang w:eastAsia="pl-PL"/>
        </w:rPr>
      </w:pPr>
      <w:r w:rsidRPr="00375A0F">
        <w:rPr>
          <w:rFonts w:ascii="Arial" w:hAnsi="Arial"/>
          <w:sz w:val="24"/>
          <w:szCs w:val="24"/>
          <w:lang w:eastAsia="pl-PL"/>
        </w:rPr>
        <w:t xml:space="preserve">- Rysunki wykonawcze pozostałe – format - </w:t>
      </w:r>
      <w:proofErr w:type="spellStart"/>
      <w:r w:rsidRPr="00375A0F">
        <w:rPr>
          <w:rFonts w:ascii="Arial" w:hAnsi="Arial"/>
          <w:sz w:val="24"/>
          <w:szCs w:val="24"/>
          <w:lang w:eastAsia="pl-PL"/>
        </w:rPr>
        <w:t>dwg</w:t>
      </w:r>
      <w:proofErr w:type="spellEnd"/>
      <w:r w:rsidRPr="00375A0F">
        <w:rPr>
          <w:rFonts w:ascii="Arial" w:hAnsi="Arial"/>
          <w:sz w:val="24"/>
          <w:szCs w:val="24"/>
          <w:lang w:eastAsia="pl-PL"/>
        </w:rPr>
        <w:t xml:space="preserve"> </w:t>
      </w:r>
    </w:p>
    <w:p w:rsidR="002B646E" w:rsidRPr="00375A0F" w:rsidRDefault="002B646E" w:rsidP="002B646E">
      <w:pPr>
        <w:widowControl w:val="0"/>
        <w:suppressAutoHyphens w:val="0"/>
        <w:ind w:left="1080" w:hanging="87"/>
        <w:rPr>
          <w:rFonts w:ascii="Arial" w:hAnsi="Arial"/>
          <w:sz w:val="24"/>
          <w:szCs w:val="24"/>
          <w:lang w:eastAsia="pl-PL"/>
        </w:rPr>
      </w:pPr>
    </w:p>
    <w:p w:rsidR="002B646E" w:rsidRPr="00375A0F" w:rsidRDefault="002B646E" w:rsidP="002B646E">
      <w:pPr>
        <w:widowControl w:val="0"/>
        <w:suppressAutoHyphens w:val="0"/>
        <w:ind w:left="1080" w:hanging="1080"/>
        <w:rPr>
          <w:rFonts w:ascii="Arial" w:hAnsi="Arial"/>
          <w:sz w:val="24"/>
          <w:szCs w:val="24"/>
          <w:lang w:eastAsia="pl-PL"/>
        </w:rPr>
      </w:pPr>
      <w:r w:rsidRPr="00375A0F">
        <w:rPr>
          <w:rFonts w:ascii="Arial" w:hAnsi="Arial"/>
          <w:sz w:val="24"/>
          <w:szCs w:val="24"/>
          <w:lang w:eastAsia="pl-PL"/>
        </w:rPr>
        <w:lastRenderedPageBreak/>
        <w:t>Na oddzielnej płycie CD należy przedstawić kosztorys inwestorski:</w:t>
      </w:r>
    </w:p>
    <w:p w:rsidR="002B646E" w:rsidRPr="00375A0F" w:rsidRDefault="002B646E" w:rsidP="002B646E">
      <w:pPr>
        <w:widowControl w:val="0"/>
        <w:suppressAutoHyphens w:val="0"/>
        <w:rPr>
          <w:rFonts w:ascii="Arial" w:hAnsi="Arial"/>
          <w:sz w:val="24"/>
          <w:szCs w:val="24"/>
          <w:lang w:eastAsia="pl-PL"/>
        </w:rPr>
      </w:pPr>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 xml:space="preserve">Tytuł: PBW oświetlenia ulicy </w:t>
      </w:r>
      <w:proofErr w:type="spellStart"/>
      <w:r w:rsidRPr="00375A0F">
        <w:rPr>
          <w:rFonts w:ascii="Arial" w:hAnsi="Arial"/>
          <w:sz w:val="24"/>
          <w:szCs w:val="24"/>
          <w:lang w:eastAsia="pl-PL"/>
        </w:rPr>
        <w:t>Xxxxxxxxxx</w:t>
      </w:r>
      <w:proofErr w:type="spellEnd"/>
      <w:r w:rsidRPr="00375A0F">
        <w:rPr>
          <w:rFonts w:ascii="Arial" w:hAnsi="Arial"/>
          <w:sz w:val="24"/>
          <w:szCs w:val="24"/>
          <w:lang w:eastAsia="pl-PL"/>
        </w:rPr>
        <w:t xml:space="preserve"> – kosztorys inwestorski</w:t>
      </w:r>
    </w:p>
    <w:p w:rsidR="002B646E" w:rsidRPr="00375A0F" w:rsidRDefault="002B646E" w:rsidP="002B646E">
      <w:pPr>
        <w:widowControl w:val="0"/>
        <w:suppressAutoHyphens w:val="0"/>
        <w:rPr>
          <w:rFonts w:ascii="Arial" w:hAnsi="Arial"/>
          <w:sz w:val="24"/>
          <w:szCs w:val="24"/>
          <w:lang w:eastAsia="pl-PL"/>
        </w:rPr>
      </w:pPr>
    </w:p>
    <w:p w:rsidR="002B646E" w:rsidRPr="00375A0F" w:rsidRDefault="002B646E" w:rsidP="002B646E">
      <w:pPr>
        <w:widowControl w:val="0"/>
        <w:numPr>
          <w:ilvl w:val="0"/>
          <w:numId w:val="6"/>
        </w:numPr>
        <w:suppressAutoHyphens w:val="0"/>
        <w:rPr>
          <w:rFonts w:ascii="Arial" w:hAnsi="Arial"/>
          <w:sz w:val="24"/>
          <w:szCs w:val="24"/>
          <w:lang w:eastAsia="pl-PL"/>
        </w:rPr>
      </w:pPr>
      <w:r w:rsidRPr="00375A0F">
        <w:rPr>
          <w:rFonts w:ascii="Arial" w:hAnsi="Arial"/>
          <w:sz w:val="24"/>
          <w:szCs w:val="24"/>
          <w:lang w:eastAsia="pl-PL"/>
        </w:rPr>
        <w:t>Wersja PDF</w:t>
      </w:r>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Kosztorys inwestorski</w:t>
      </w:r>
    </w:p>
    <w:p w:rsidR="002B646E" w:rsidRPr="00375A0F" w:rsidRDefault="002B646E" w:rsidP="002B646E">
      <w:pPr>
        <w:widowControl w:val="0"/>
        <w:suppressAutoHyphens w:val="0"/>
        <w:ind w:left="720"/>
        <w:rPr>
          <w:rFonts w:ascii="Arial" w:hAnsi="Arial"/>
          <w:sz w:val="24"/>
          <w:szCs w:val="24"/>
          <w:lang w:eastAsia="pl-PL"/>
        </w:rPr>
      </w:pPr>
    </w:p>
    <w:p w:rsidR="002B646E" w:rsidRPr="00375A0F" w:rsidRDefault="002B646E" w:rsidP="002B646E">
      <w:pPr>
        <w:widowControl w:val="0"/>
        <w:numPr>
          <w:ilvl w:val="0"/>
          <w:numId w:val="6"/>
        </w:numPr>
        <w:suppressAutoHyphens w:val="0"/>
        <w:rPr>
          <w:rFonts w:ascii="Arial" w:hAnsi="Arial"/>
          <w:sz w:val="24"/>
          <w:szCs w:val="24"/>
          <w:lang w:eastAsia="pl-PL"/>
        </w:rPr>
      </w:pPr>
      <w:r w:rsidRPr="00375A0F">
        <w:rPr>
          <w:rFonts w:ascii="Arial" w:hAnsi="Arial"/>
          <w:sz w:val="24"/>
          <w:szCs w:val="24"/>
          <w:lang w:eastAsia="pl-PL"/>
        </w:rPr>
        <w:t xml:space="preserve">Wersja edytowalna </w:t>
      </w:r>
    </w:p>
    <w:p w:rsidR="002B646E" w:rsidRPr="00375A0F" w:rsidRDefault="002B646E" w:rsidP="002B646E">
      <w:pPr>
        <w:widowControl w:val="0"/>
        <w:suppressAutoHyphens w:val="0"/>
        <w:ind w:left="1080"/>
        <w:rPr>
          <w:rFonts w:ascii="Arial" w:hAnsi="Arial"/>
          <w:sz w:val="24"/>
          <w:szCs w:val="24"/>
          <w:lang w:eastAsia="pl-PL"/>
        </w:rPr>
      </w:pPr>
      <w:r w:rsidRPr="00375A0F">
        <w:rPr>
          <w:rFonts w:ascii="Arial" w:hAnsi="Arial"/>
          <w:sz w:val="24"/>
          <w:szCs w:val="24"/>
          <w:lang w:eastAsia="pl-PL"/>
        </w:rPr>
        <w:t xml:space="preserve">- Kosztorys inwestorski – format </w:t>
      </w:r>
      <w:proofErr w:type="spellStart"/>
      <w:r w:rsidRPr="00375A0F">
        <w:rPr>
          <w:rFonts w:ascii="Arial" w:hAnsi="Arial"/>
          <w:sz w:val="24"/>
          <w:szCs w:val="24"/>
          <w:lang w:eastAsia="pl-PL"/>
        </w:rPr>
        <w:t>ath</w:t>
      </w:r>
      <w:proofErr w:type="spellEnd"/>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 xml:space="preserve">   </w:t>
      </w:r>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Opracował:</w:t>
      </w:r>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Wydział Infrastruktury i Gospodarki Komunalnej</w:t>
      </w:r>
    </w:p>
    <w:p w:rsidR="002B646E" w:rsidRPr="00375A0F" w:rsidRDefault="002B646E" w:rsidP="002B646E">
      <w:pPr>
        <w:widowControl w:val="0"/>
        <w:suppressAutoHyphens w:val="0"/>
        <w:rPr>
          <w:rFonts w:ascii="Arial" w:hAnsi="Arial"/>
          <w:sz w:val="24"/>
          <w:szCs w:val="24"/>
          <w:lang w:eastAsia="pl-PL"/>
        </w:rPr>
      </w:pPr>
      <w:r w:rsidRPr="00375A0F">
        <w:rPr>
          <w:rFonts w:ascii="Arial" w:hAnsi="Arial"/>
          <w:sz w:val="24"/>
          <w:szCs w:val="24"/>
          <w:lang w:eastAsia="pl-PL"/>
        </w:rPr>
        <w:t>Referat Dróg i Oświetlenia</w:t>
      </w:r>
    </w:p>
    <w:p w:rsidR="002B646E" w:rsidRPr="00375A0F" w:rsidRDefault="002B646E" w:rsidP="002B646E">
      <w:pPr>
        <w:suppressAutoHyphens w:val="0"/>
        <w:rPr>
          <w:rFonts w:ascii="Arial" w:hAnsi="Arial"/>
          <w:sz w:val="24"/>
          <w:szCs w:val="24"/>
          <w:lang w:eastAsia="pl-PL"/>
        </w:rPr>
      </w:pPr>
      <w:r w:rsidRPr="00375A0F">
        <w:rPr>
          <w:rFonts w:ascii="Arial" w:hAnsi="Arial"/>
          <w:sz w:val="24"/>
          <w:szCs w:val="24"/>
          <w:lang w:eastAsia="pl-PL"/>
        </w:rPr>
        <w:t>Urząd Miasta Opola</w:t>
      </w:r>
    </w:p>
    <w:p w:rsidR="002B646E" w:rsidRPr="00375A0F" w:rsidRDefault="002B646E" w:rsidP="002B646E">
      <w:pPr>
        <w:suppressAutoHyphens w:val="0"/>
        <w:rPr>
          <w:rFonts w:ascii="Arial" w:hAnsi="Arial"/>
          <w:sz w:val="24"/>
          <w:szCs w:val="24"/>
          <w:lang w:eastAsia="pl-PL"/>
        </w:rPr>
      </w:pPr>
    </w:p>
    <w:p w:rsidR="002B646E" w:rsidRPr="00375A0F" w:rsidRDefault="002B646E" w:rsidP="002B646E">
      <w:pPr>
        <w:suppressAutoHyphens w:val="0"/>
        <w:rPr>
          <w:rFonts w:ascii="Arial" w:hAnsi="Arial"/>
          <w:sz w:val="24"/>
          <w:szCs w:val="24"/>
          <w:lang w:eastAsia="pl-PL"/>
        </w:rPr>
      </w:pPr>
      <w:r w:rsidRPr="00375A0F">
        <w:rPr>
          <w:rFonts w:ascii="Arial" w:hAnsi="Arial"/>
          <w:sz w:val="24"/>
          <w:szCs w:val="24"/>
          <w:lang w:eastAsia="pl-PL"/>
        </w:rPr>
        <w:t>Opole, czerwiec 2015 r.</w:t>
      </w:r>
    </w:p>
    <w:p w:rsidR="002B646E" w:rsidRPr="0020411B" w:rsidRDefault="002B646E" w:rsidP="002B646E">
      <w:pPr>
        <w:pStyle w:val="Tekstpodstawowy21"/>
        <w:spacing w:line="240" w:lineRule="auto"/>
        <w:ind w:left="0" w:firstLine="0"/>
        <w:rPr>
          <w:rFonts w:ascii="Tahoma" w:hAnsi="Tahoma" w:cs="Tahoma"/>
          <w:sz w:val="16"/>
        </w:rPr>
      </w:pPr>
    </w:p>
    <w:p w:rsidR="004D0578" w:rsidRDefault="004D0578"/>
    <w:sectPr w:rsidR="004D0578">
      <w:footnotePr>
        <w:pos w:val="beneathText"/>
      </w:footnotePr>
      <w:pgSz w:w="11905" w:h="16837"/>
      <w:pgMar w:top="1417" w:right="1408" w:bottom="1417" w:left="1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5EC1"/>
    <w:multiLevelType w:val="hybridMultilevel"/>
    <w:tmpl w:val="B0368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AB11C66"/>
    <w:multiLevelType w:val="hybridMultilevel"/>
    <w:tmpl w:val="EFA635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017744"/>
    <w:multiLevelType w:val="hybridMultilevel"/>
    <w:tmpl w:val="DC82E628"/>
    <w:lvl w:ilvl="0" w:tplc="983804DC">
      <w:start w:val="1"/>
      <w:numFmt w:val="decimalZero"/>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EEC31E1"/>
    <w:multiLevelType w:val="hybridMultilevel"/>
    <w:tmpl w:val="8078F79C"/>
    <w:lvl w:ilvl="0" w:tplc="4B70676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58D41409"/>
    <w:multiLevelType w:val="hybridMultilevel"/>
    <w:tmpl w:val="C8982D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7A816F7A"/>
    <w:multiLevelType w:val="multilevel"/>
    <w:tmpl w:val="20469E5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6E"/>
    <w:rsid w:val="002B646E"/>
    <w:rsid w:val="004D0578"/>
    <w:rsid w:val="00C11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12C6FF0-0AD2-46A1-BF9F-36B8AFC1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646E"/>
    <w:pPr>
      <w:suppressAutoHyphens/>
      <w:spacing w:after="0" w:line="240" w:lineRule="auto"/>
    </w:pPr>
    <w:rPr>
      <w:rFonts w:ascii="Tahoma" w:eastAsia="Times New Roman" w:hAnsi="Tahoma" w:cs="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2B646E"/>
    <w:pPr>
      <w:spacing w:line="360" w:lineRule="auto"/>
      <w:ind w:left="426" w:hanging="426"/>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6630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Zawadzki</dc:creator>
  <cp:keywords/>
  <dc:description/>
  <cp:lastModifiedBy>Edward Zawadzki</cp:lastModifiedBy>
  <cp:revision>2</cp:revision>
  <dcterms:created xsi:type="dcterms:W3CDTF">2016-01-19T12:15:00Z</dcterms:created>
  <dcterms:modified xsi:type="dcterms:W3CDTF">2016-01-19T12:18:00Z</dcterms:modified>
</cp:coreProperties>
</file>