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20" w:rsidRDefault="00A35820" w:rsidP="00A35820">
      <w:pPr>
        <w:spacing w:after="0" w:line="240" w:lineRule="auto"/>
        <w:ind w:left="4968"/>
        <w:contextualSpacing/>
        <w:rPr>
          <w:rFonts w:ascii="Arial" w:eastAsia="MS Mincho" w:hAnsi="Arial" w:cs="Arial"/>
          <w:sz w:val="20"/>
          <w:szCs w:val="20"/>
          <w:lang w:eastAsia="pl-PL"/>
        </w:rPr>
      </w:pPr>
    </w:p>
    <w:p w:rsidR="003D23CA" w:rsidRPr="00A35820" w:rsidRDefault="003D23CA" w:rsidP="00A35820">
      <w:pPr>
        <w:spacing w:after="0" w:line="240" w:lineRule="auto"/>
        <w:ind w:left="4968"/>
        <w:contextualSpacing/>
        <w:rPr>
          <w:rFonts w:ascii="Arial" w:eastAsia="MS Mincho" w:hAnsi="Arial" w:cs="Arial"/>
          <w:sz w:val="24"/>
          <w:szCs w:val="24"/>
          <w:lang w:eastAsia="pl-PL"/>
        </w:rPr>
      </w:pPr>
    </w:p>
    <w:p w:rsidR="00A35820" w:rsidRPr="00A35820" w:rsidRDefault="00A35820" w:rsidP="00A35820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b/>
          <w:sz w:val="24"/>
          <w:szCs w:val="24"/>
          <w:lang w:eastAsia="pl-PL"/>
        </w:rPr>
        <w:t>Szczegółowe wytyczne dotyczące urn wyborczych: wielkość i zakres zamówienia.</w:t>
      </w:r>
    </w:p>
    <w:p w:rsidR="00A35820" w:rsidRPr="00A35820" w:rsidRDefault="00A35820" w:rsidP="00A35820">
      <w:pPr>
        <w:spacing w:after="0" w:line="240" w:lineRule="auto"/>
        <w:ind w:firstLine="284"/>
        <w:rPr>
          <w:rFonts w:ascii="Arial" w:eastAsia="MS Mincho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992"/>
      </w:tblGrid>
      <w:tr w:rsidR="00A35820" w:rsidRPr="00A35820" w:rsidTr="00582AE2">
        <w:trPr>
          <w:trHeight w:val="720"/>
        </w:trPr>
        <w:tc>
          <w:tcPr>
            <w:tcW w:w="704" w:type="dxa"/>
          </w:tcPr>
          <w:p w:rsidR="00A35820" w:rsidRPr="00A35820" w:rsidRDefault="00A35820" w:rsidP="00A35820">
            <w:pP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A35820" w:rsidRPr="00A35820" w:rsidRDefault="00A35820" w:rsidP="00A35820">
            <w:pP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</w:tcPr>
          <w:p w:rsidR="00A35820" w:rsidRPr="00A35820" w:rsidRDefault="00A35820" w:rsidP="00A35820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35820" w:rsidRPr="00A35820" w:rsidRDefault="00A35820" w:rsidP="00A3582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bCs/>
                <w:sz w:val="24"/>
                <w:szCs w:val="24"/>
                <w:lang w:eastAsia="pl-PL"/>
              </w:rPr>
              <w:t>Zakres przedmiotu zamówienia</w:t>
            </w:r>
          </w:p>
        </w:tc>
        <w:tc>
          <w:tcPr>
            <w:tcW w:w="992" w:type="dxa"/>
          </w:tcPr>
          <w:p w:rsidR="00A35820" w:rsidRPr="00A35820" w:rsidRDefault="00A35820" w:rsidP="00A35820">
            <w:pP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A35820" w:rsidRPr="00A35820" w:rsidRDefault="00A35820" w:rsidP="00A35820">
            <w:pP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A35820" w:rsidRPr="00A35820" w:rsidTr="00582AE2">
        <w:trPr>
          <w:trHeight w:val="913"/>
        </w:trPr>
        <w:tc>
          <w:tcPr>
            <w:tcW w:w="704" w:type="dxa"/>
            <w:vAlign w:val="center"/>
          </w:tcPr>
          <w:p w:rsidR="00A35820" w:rsidRPr="00A35820" w:rsidRDefault="00A35820" w:rsidP="00A3582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A35820" w:rsidRPr="00C8137C" w:rsidRDefault="00C8137C" w:rsidP="00C8137C">
            <w:pP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37" w:type="dxa"/>
          </w:tcPr>
          <w:p w:rsidR="00A35820" w:rsidRPr="00A35820" w:rsidRDefault="00A35820" w:rsidP="00A35820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Liczba urn w obwodach dla niepełnosprawnych</w:t>
            </w:r>
          </w:p>
          <w:p w:rsidR="00A35820" w:rsidRPr="00A35820" w:rsidRDefault="00A35820" w:rsidP="00A35820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do 750 wyborców (w tym lokale w obwodach zamkniętych) - zał. nr 1 do uchwały PKW z dnia 21 marca 2016 r. (poz.312)</w:t>
            </w:r>
          </w:p>
        </w:tc>
        <w:tc>
          <w:tcPr>
            <w:tcW w:w="992" w:type="dxa"/>
          </w:tcPr>
          <w:p w:rsidR="00A35820" w:rsidRPr="00A35820" w:rsidRDefault="00A35820" w:rsidP="00A35820">
            <w:pP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A35820" w:rsidRPr="00A35820" w:rsidRDefault="00A35820" w:rsidP="00A3582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A35820" w:rsidRPr="00A35820" w:rsidTr="00582AE2">
        <w:trPr>
          <w:trHeight w:val="692"/>
        </w:trPr>
        <w:tc>
          <w:tcPr>
            <w:tcW w:w="704" w:type="dxa"/>
            <w:vAlign w:val="center"/>
          </w:tcPr>
          <w:p w:rsidR="00A35820" w:rsidRPr="00540DAC" w:rsidRDefault="00B976F8" w:rsidP="00540DAC">
            <w:pP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2</w:t>
            </w:r>
            <w:r w:rsidR="00540DAC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.</w:t>
            </w:r>
          </w:p>
          <w:p w:rsidR="00A35820" w:rsidRPr="00A35820" w:rsidRDefault="00A35820" w:rsidP="00A3582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A35820" w:rsidRPr="00A35820" w:rsidRDefault="00A35820" w:rsidP="00A35820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Liczba urn w obwodach dla niepełnosprawnych powyżej 750 wyborców - zał. nr 3</w:t>
            </w:r>
            <w:r w:rsidRPr="00A35820">
              <w:rPr>
                <w:rFonts w:ascii="Cambria" w:eastAsia="MS Mincho" w:hAnsi="Cambria" w:cs="Times New Roman"/>
                <w:sz w:val="24"/>
                <w:szCs w:val="24"/>
                <w:lang w:eastAsia="pl-PL"/>
              </w:rPr>
              <w:t xml:space="preserve"> </w:t>
            </w:r>
            <w:r w:rsidRPr="00A35820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do uchwały PKW z dnia 21 marca 2016 r. (poz.312)</w:t>
            </w:r>
          </w:p>
        </w:tc>
        <w:tc>
          <w:tcPr>
            <w:tcW w:w="992" w:type="dxa"/>
          </w:tcPr>
          <w:p w:rsidR="00A35820" w:rsidRPr="00A35820" w:rsidRDefault="00A35820" w:rsidP="00A3582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A35820" w:rsidRPr="00A35820" w:rsidRDefault="00B976F8" w:rsidP="00A3582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65</w:t>
            </w:r>
          </w:p>
        </w:tc>
      </w:tr>
      <w:tr w:rsidR="00C8137C" w:rsidRPr="00A35820" w:rsidTr="00582AE2">
        <w:trPr>
          <w:trHeight w:val="692"/>
        </w:trPr>
        <w:tc>
          <w:tcPr>
            <w:tcW w:w="704" w:type="dxa"/>
            <w:vAlign w:val="center"/>
          </w:tcPr>
          <w:p w:rsidR="00C8137C" w:rsidRPr="00C8137C" w:rsidRDefault="00B976F8" w:rsidP="00540DAC">
            <w:pP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3</w:t>
            </w:r>
            <w:r w:rsidR="00540DAC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37" w:type="dxa"/>
          </w:tcPr>
          <w:p w:rsidR="00C8137C" w:rsidRPr="00A35820" w:rsidRDefault="00582AE2" w:rsidP="00A35820">
            <w:pPr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pl-PL"/>
              </w:rPr>
              <w:t xml:space="preserve">Liczba urn pomocniczych (przenośnych) dla obwodu głosowania w zakładzie opieki zdrowotnej i domu pomocy społecznej zał. nr 4 do uchwały PKW z dnia 21 marca </w:t>
            </w:r>
            <w:r w:rsidRPr="00582AE2">
              <w:rPr>
                <w:rFonts w:ascii="Arial" w:eastAsia="MS Mincho" w:hAnsi="Arial" w:cs="Arial"/>
                <w:sz w:val="24"/>
                <w:szCs w:val="24"/>
                <w:lang w:eastAsia="pl-PL"/>
              </w:rPr>
              <w:t>2016 r. (poz.312)</w:t>
            </w:r>
          </w:p>
        </w:tc>
        <w:tc>
          <w:tcPr>
            <w:tcW w:w="992" w:type="dxa"/>
          </w:tcPr>
          <w:p w:rsidR="00C8137C" w:rsidRDefault="00C8137C" w:rsidP="00A3582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</w:p>
          <w:p w:rsidR="00582AE2" w:rsidRPr="00A35820" w:rsidRDefault="00582AE2" w:rsidP="00A3582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A35820" w:rsidRPr="00A35820" w:rsidTr="00582AE2">
        <w:trPr>
          <w:trHeight w:val="703"/>
        </w:trPr>
        <w:tc>
          <w:tcPr>
            <w:tcW w:w="6941" w:type="dxa"/>
            <w:gridSpan w:val="2"/>
            <w:tcBorders>
              <w:left w:val="nil"/>
              <w:bottom w:val="nil"/>
            </w:tcBorders>
          </w:tcPr>
          <w:p w:rsidR="00A35820" w:rsidRPr="00A35820" w:rsidRDefault="00A35820" w:rsidP="00A35820">
            <w:pPr>
              <w:ind w:firstLine="3715"/>
              <w:rPr>
                <w:rFonts w:ascii="Arial" w:eastAsia="MS Mincho" w:hAnsi="Arial" w:cs="Arial"/>
                <w:sz w:val="24"/>
                <w:szCs w:val="24"/>
                <w:lang w:eastAsia="pl-PL"/>
              </w:rPr>
            </w:pPr>
          </w:p>
          <w:p w:rsidR="00A35820" w:rsidRPr="00A35820" w:rsidRDefault="00A35820" w:rsidP="00A35820">
            <w:pPr>
              <w:ind w:firstLine="2864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A35820"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Łącznie – liczba urn</w:t>
            </w:r>
          </w:p>
        </w:tc>
        <w:tc>
          <w:tcPr>
            <w:tcW w:w="992" w:type="dxa"/>
          </w:tcPr>
          <w:p w:rsidR="00A35820" w:rsidRPr="00A35820" w:rsidRDefault="00582AE2" w:rsidP="00A3582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  <w:t>80</w:t>
            </w:r>
          </w:p>
        </w:tc>
      </w:tr>
    </w:tbl>
    <w:p w:rsidR="00A35820" w:rsidRPr="00A35820" w:rsidRDefault="00A35820" w:rsidP="00A35820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l-PL"/>
        </w:rPr>
      </w:pPr>
    </w:p>
    <w:p w:rsidR="00A35820" w:rsidRPr="00A35820" w:rsidRDefault="00A35820" w:rsidP="00A35820">
      <w:pPr>
        <w:spacing w:after="0" w:line="240" w:lineRule="auto"/>
        <w:ind w:firstLine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Dostarczone urny muszą odpowiadać wymaganiom oraz być zgodne ze wzorami ustalonymi w załącznikach do uchwały z dnia 21 marca 2016r. w sprawie wzorów urn wyborczych z uwzględnieniem uchwały Państwowej Komisji Wyborczej z dnia                          11 kwietnia 2016r. zmieniającej uchwałę w sprawie urn wyborczych.</w:t>
      </w:r>
    </w:p>
    <w:p w:rsidR="00A35820" w:rsidRPr="00A35820" w:rsidRDefault="00A35820" w:rsidP="00A35820">
      <w:pPr>
        <w:spacing w:after="0" w:line="240" w:lineRule="auto"/>
        <w:ind w:firstLine="284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A35820" w:rsidRPr="00A35820" w:rsidRDefault="00A35820" w:rsidP="00A3582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Wymagania: </w:t>
      </w:r>
    </w:p>
    <w:p w:rsidR="00A35820" w:rsidRPr="00A35820" w:rsidRDefault="00A35820" w:rsidP="00A358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urna ma być wykonana w taki sposób, aby była trwała,</w:t>
      </w:r>
    </w:p>
    <w:p w:rsidR="00582AE2" w:rsidRDefault="00A35820" w:rsidP="00A358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brak nadruków na urnie</w:t>
      </w:r>
      <w:r w:rsidR="00582AE2">
        <w:rPr>
          <w:rFonts w:ascii="Arial" w:eastAsia="MS Mincho" w:hAnsi="Arial" w:cs="Arial"/>
          <w:sz w:val="24"/>
          <w:szCs w:val="24"/>
          <w:lang w:eastAsia="pl-PL"/>
        </w:rPr>
        <w:t>,</w:t>
      </w:r>
    </w:p>
    <w:p w:rsidR="00A35820" w:rsidRDefault="00582AE2" w:rsidP="00A358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 xml:space="preserve">w urnach powinny być zastosowane podkładki filcowe tak, jak zostało to wskazane w załączniku nr 5 do uchwały Państwowej Komisji Wyborczej z dnia 21 marca 2016 r </w:t>
      </w:r>
      <w:r w:rsidR="005E6379">
        <w:rPr>
          <w:rFonts w:ascii="Arial" w:eastAsia="MS Mincho" w:hAnsi="Arial" w:cs="Arial"/>
          <w:sz w:val="24"/>
          <w:szCs w:val="24"/>
          <w:lang w:eastAsia="pl-PL"/>
        </w:rPr>
        <w:t>.,</w:t>
      </w:r>
    </w:p>
    <w:p w:rsidR="005E6379" w:rsidRDefault="005E6379" w:rsidP="00A358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 xml:space="preserve">w urnach przeznaczonych dla obwodów powyżej 750 wyborców uchwyty powinny być zamontowane na </w:t>
      </w:r>
      <w:r w:rsidR="00B976F8">
        <w:rPr>
          <w:rFonts w:ascii="Arial" w:eastAsia="MS Mincho" w:hAnsi="Arial" w:cs="Arial"/>
          <w:sz w:val="24"/>
          <w:szCs w:val="24"/>
          <w:lang w:eastAsia="pl-PL"/>
        </w:rPr>
        <w:t>krótszych bokach urn,</w:t>
      </w:r>
    </w:p>
    <w:p w:rsidR="00B976F8" w:rsidRDefault="00B976F8" w:rsidP="00A358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zamocowanie uchwytów powinno być solidne i zapewniające stabilne i wytrzymałe przenoszenie zapełnionej urny</w:t>
      </w:r>
      <w:r w:rsidR="00C00AB6">
        <w:rPr>
          <w:rFonts w:ascii="Arial" w:eastAsia="MS Mincho" w:hAnsi="Arial" w:cs="Arial"/>
          <w:sz w:val="24"/>
          <w:szCs w:val="24"/>
          <w:lang w:eastAsia="pl-PL"/>
        </w:rPr>
        <w:t>, sposób montażu uchwytów nie może wpływać na trwałość konstrukcji zapełnionej urny</w:t>
      </w:r>
      <w:r>
        <w:rPr>
          <w:rFonts w:ascii="Arial" w:eastAsia="MS Mincho" w:hAnsi="Arial" w:cs="Arial"/>
          <w:sz w:val="24"/>
          <w:szCs w:val="24"/>
          <w:lang w:eastAsia="pl-PL"/>
        </w:rPr>
        <w:t xml:space="preserve"> (</w:t>
      </w:r>
      <w:r w:rsidR="00C00AB6">
        <w:rPr>
          <w:rFonts w:ascii="Arial" w:eastAsia="MS Mincho" w:hAnsi="Arial" w:cs="Arial"/>
          <w:sz w:val="24"/>
          <w:szCs w:val="24"/>
          <w:lang w:eastAsia="pl-PL"/>
        </w:rPr>
        <w:t xml:space="preserve">wskazane jest użycie </w:t>
      </w:r>
      <w:r>
        <w:rPr>
          <w:rFonts w:ascii="Arial" w:eastAsia="MS Mincho" w:hAnsi="Arial" w:cs="Arial"/>
          <w:sz w:val="24"/>
          <w:szCs w:val="24"/>
          <w:lang w:eastAsia="pl-PL"/>
        </w:rPr>
        <w:t xml:space="preserve">więcej niż </w:t>
      </w:r>
      <w:r w:rsidR="00C00AB6">
        <w:rPr>
          <w:rFonts w:ascii="Arial" w:eastAsia="MS Mincho" w:hAnsi="Arial" w:cs="Arial"/>
          <w:sz w:val="24"/>
          <w:szCs w:val="24"/>
          <w:lang w:eastAsia="pl-PL"/>
        </w:rPr>
        <w:t>2 punkt</w:t>
      </w:r>
      <w:r w:rsidR="00C51F13">
        <w:rPr>
          <w:rFonts w:ascii="Arial" w:eastAsia="MS Mincho" w:hAnsi="Arial" w:cs="Arial"/>
          <w:sz w:val="24"/>
          <w:szCs w:val="24"/>
          <w:lang w:eastAsia="pl-PL"/>
        </w:rPr>
        <w:t xml:space="preserve">ów </w:t>
      </w:r>
      <w:r>
        <w:rPr>
          <w:rFonts w:ascii="Arial" w:eastAsia="MS Mincho" w:hAnsi="Arial" w:cs="Arial"/>
          <w:sz w:val="24"/>
          <w:szCs w:val="24"/>
          <w:lang w:eastAsia="pl-PL"/>
        </w:rPr>
        <w:t>mocując</w:t>
      </w:r>
      <w:r w:rsidR="00C51F13">
        <w:rPr>
          <w:rFonts w:ascii="Arial" w:eastAsia="MS Mincho" w:hAnsi="Arial" w:cs="Arial"/>
          <w:sz w:val="24"/>
          <w:szCs w:val="24"/>
          <w:lang w:eastAsia="pl-PL"/>
        </w:rPr>
        <w:t xml:space="preserve">ych </w:t>
      </w:r>
      <w:bookmarkStart w:id="0" w:name="_GoBack"/>
      <w:bookmarkEnd w:id="0"/>
      <w:r w:rsidR="00C00AB6">
        <w:rPr>
          <w:rFonts w:ascii="Arial" w:eastAsia="MS Mincho" w:hAnsi="Arial" w:cs="Arial"/>
          <w:sz w:val="24"/>
          <w:szCs w:val="24"/>
          <w:lang w:eastAsia="pl-PL"/>
        </w:rPr>
        <w:t>oraz</w:t>
      </w:r>
      <w:r>
        <w:rPr>
          <w:rFonts w:ascii="Arial" w:eastAsia="MS Mincho" w:hAnsi="Arial" w:cs="Arial"/>
          <w:sz w:val="24"/>
          <w:szCs w:val="24"/>
          <w:lang w:eastAsia="pl-PL"/>
        </w:rPr>
        <w:t xml:space="preserve"> dodatkowa listwa mocująca) – wymagane jest zapewnienie producenta o wytrzymałości uchwytów,</w:t>
      </w:r>
    </w:p>
    <w:p w:rsidR="00B976F8" w:rsidRDefault="00B976F8" w:rsidP="00A3582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urna powinna zostać dostarczona w wersji kompletnej i złożonej, niedopuszczalne są urny do samodzielnego złożenia.</w:t>
      </w:r>
    </w:p>
    <w:p w:rsidR="00B976F8" w:rsidRPr="00A35820" w:rsidRDefault="00B976F8" w:rsidP="00B976F8">
      <w:pPr>
        <w:spacing w:after="0" w:line="240" w:lineRule="auto"/>
        <w:ind w:left="644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A35820" w:rsidRPr="00A35820" w:rsidRDefault="00A35820" w:rsidP="00A35820">
      <w:pPr>
        <w:spacing w:after="0" w:line="240" w:lineRule="auto"/>
        <w:ind w:left="993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A35820" w:rsidRPr="00A35820" w:rsidRDefault="00A35820" w:rsidP="00A35820">
      <w:pPr>
        <w:spacing w:after="0" w:line="240" w:lineRule="auto"/>
        <w:ind w:left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Zalecane jest:</w:t>
      </w:r>
    </w:p>
    <w:p w:rsidR="00A35820" w:rsidRPr="00A35820" w:rsidRDefault="00A35820" w:rsidP="00A358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zastosowanie uchwytów, które całą powierzchnią przylegają do boków urny,</w:t>
      </w:r>
    </w:p>
    <w:p w:rsidR="00A35820" w:rsidRPr="00A35820" w:rsidRDefault="00A35820" w:rsidP="00A358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zagięcie górnych krawędzi boków urny do jej wnętrza, co usztywni konstrukcję urny,</w:t>
      </w:r>
    </w:p>
    <w:p w:rsidR="00A35820" w:rsidRPr="00A35820" w:rsidRDefault="00A35820" w:rsidP="00A35820">
      <w:pPr>
        <w:spacing w:after="0" w:line="240" w:lineRule="auto"/>
        <w:ind w:left="284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B976F8" w:rsidRDefault="00B976F8" w:rsidP="00A35820">
      <w:pPr>
        <w:spacing w:after="0" w:line="240" w:lineRule="auto"/>
        <w:ind w:left="284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B976F8" w:rsidRDefault="00B976F8" w:rsidP="00A35820">
      <w:pPr>
        <w:spacing w:after="0" w:line="240" w:lineRule="auto"/>
        <w:ind w:left="284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B976F8" w:rsidRDefault="00B976F8" w:rsidP="00A35820">
      <w:pPr>
        <w:spacing w:after="0" w:line="240" w:lineRule="auto"/>
        <w:ind w:left="284"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A35820" w:rsidRPr="00A35820" w:rsidRDefault="00A35820" w:rsidP="00A35820">
      <w:pPr>
        <w:spacing w:after="0" w:line="240" w:lineRule="auto"/>
        <w:ind w:left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Dopuszczalne jest:</w:t>
      </w:r>
    </w:p>
    <w:p w:rsidR="00A35820" w:rsidRPr="00A35820" w:rsidRDefault="00A35820" w:rsidP="00A358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wykonanie zagiętych do wnętrza urny krawędzi otworu wrzutowego, co ułatwi wyborcom wrzucanie kart do głosowania (po zwężeniu otwór wrzutowy nie może być węższy niż 1,5 cm),</w:t>
      </w:r>
    </w:p>
    <w:p w:rsidR="00A35820" w:rsidRPr="00A35820" w:rsidRDefault="00A35820" w:rsidP="00A358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Mincho" w:hAnsi="Arial" w:cs="Arial"/>
          <w:color w:val="FF0000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 xml:space="preserve">zastosowanie do zamknięcia i blokowania wieka urny: </w:t>
      </w:r>
    </w:p>
    <w:p w:rsidR="00A35820" w:rsidRPr="00A35820" w:rsidRDefault="00A35820" w:rsidP="00A35820">
      <w:pPr>
        <w:spacing w:after="0" w:line="240" w:lineRule="auto"/>
        <w:ind w:left="644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- mechanizmów  odciąganych (bez możliwości ich całkowitego wyjęcia) zamiast zakręcanych, pod warunkiem umieszczenia na ścianach  bocznych i wieku urny otworów umożliwiających założenie plomby plastikowej lub metalowej,</w:t>
      </w:r>
    </w:p>
    <w:p w:rsidR="00A35820" w:rsidRPr="00A35820" w:rsidRDefault="00A35820" w:rsidP="00A35820">
      <w:pPr>
        <w:spacing w:after="0" w:line="240" w:lineRule="auto"/>
        <w:ind w:left="644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- śrub wkręcanych (bez możliwości całkowitego wykręcenia) w nitonakrętki zamocowane w ścianach bocznych urny,</w:t>
      </w:r>
    </w:p>
    <w:p w:rsidR="00A35820" w:rsidRDefault="00A35820" w:rsidP="00A35820">
      <w:pPr>
        <w:spacing w:after="0" w:line="240" w:lineRule="auto"/>
        <w:ind w:left="644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- urna może być połączona większą ilością nitów, niż jest to wskazane we wzorach,</w:t>
      </w:r>
      <w:r w:rsidRPr="00A35820">
        <w:rPr>
          <w:rFonts w:ascii="Cambria" w:eastAsia="MS Mincho" w:hAnsi="Cambria" w:cs="Times New Roman"/>
          <w:sz w:val="24"/>
          <w:szCs w:val="24"/>
          <w:lang w:eastAsia="pl-PL"/>
        </w:rPr>
        <w:t xml:space="preserve"> </w:t>
      </w:r>
      <w:r w:rsidRPr="00A35820">
        <w:rPr>
          <w:rFonts w:ascii="Arial" w:eastAsia="MS Mincho" w:hAnsi="Arial" w:cs="Arial"/>
          <w:sz w:val="24"/>
          <w:szCs w:val="24"/>
          <w:lang w:eastAsia="pl-PL"/>
        </w:rPr>
        <w:t>ma być wykonana w taki sposób, aby była trwała.</w:t>
      </w:r>
    </w:p>
    <w:p w:rsidR="005E6379" w:rsidRPr="00A35820" w:rsidRDefault="005E6379" w:rsidP="00A35820">
      <w:pPr>
        <w:spacing w:after="0" w:line="240" w:lineRule="auto"/>
        <w:ind w:left="644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</w:p>
    <w:p w:rsidR="00A35820" w:rsidRPr="00A35820" w:rsidRDefault="00A35820" w:rsidP="00A35820">
      <w:pPr>
        <w:spacing w:after="0" w:line="240" w:lineRule="auto"/>
        <w:ind w:left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Dodatkowo:</w:t>
      </w:r>
    </w:p>
    <w:p w:rsidR="00A35820" w:rsidRPr="003D23CA" w:rsidRDefault="00A35820" w:rsidP="003D23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A35820">
        <w:rPr>
          <w:rFonts w:ascii="Arial" w:eastAsia="MS Mincho" w:hAnsi="Arial" w:cs="Arial"/>
          <w:sz w:val="24"/>
          <w:szCs w:val="24"/>
          <w:lang w:eastAsia="pl-PL"/>
        </w:rPr>
        <w:t>wymaga się od Wykonawcy udzielenia gwarancji na dosta</w:t>
      </w:r>
      <w:r w:rsidR="003D23CA">
        <w:rPr>
          <w:rFonts w:ascii="Arial" w:eastAsia="MS Mincho" w:hAnsi="Arial" w:cs="Arial"/>
          <w:sz w:val="24"/>
          <w:szCs w:val="24"/>
          <w:lang w:eastAsia="pl-PL"/>
        </w:rPr>
        <w:t>rczone urny minimum 36 miesięcy.</w:t>
      </w:r>
    </w:p>
    <w:sectPr w:rsidR="00A35820" w:rsidRPr="003D23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CA" w:rsidRDefault="003D23CA" w:rsidP="003D23CA">
      <w:pPr>
        <w:spacing w:after="0" w:line="240" w:lineRule="auto"/>
      </w:pPr>
      <w:r>
        <w:separator/>
      </w:r>
    </w:p>
  </w:endnote>
  <w:endnote w:type="continuationSeparator" w:id="0">
    <w:p w:rsidR="003D23CA" w:rsidRDefault="003D23CA" w:rsidP="003D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CA" w:rsidRDefault="003D23CA" w:rsidP="003D23CA">
      <w:pPr>
        <w:spacing w:after="0" w:line="240" w:lineRule="auto"/>
      </w:pPr>
      <w:r>
        <w:separator/>
      </w:r>
    </w:p>
  </w:footnote>
  <w:footnote w:type="continuationSeparator" w:id="0">
    <w:p w:rsidR="003D23CA" w:rsidRDefault="003D23CA" w:rsidP="003D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CA" w:rsidRDefault="003D23CA" w:rsidP="003D23CA">
    <w:pPr>
      <w:pStyle w:val="Nagwek"/>
      <w:jc w:val="right"/>
    </w:pPr>
    <w:r w:rsidRPr="00A35820">
      <w:rPr>
        <w:rFonts w:ascii="Arial" w:eastAsia="MS Mincho" w:hAnsi="Arial" w:cs="Arial"/>
        <w:sz w:val="20"/>
        <w:szCs w:val="20"/>
        <w:lang w:eastAsia="pl-PL"/>
      </w:rPr>
      <w:t>Załącznik nr 1 do zapytania ofertowego</w:t>
    </w:r>
  </w:p>
  <w:p w:rsidR="003D23CA" w:rsidRDefault="003D2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EBA"/>
    <w:multiLevelType w:val="hybridMultilevel"/>
    <w:tmpl w:val="B8BEC1E6"/>
    <w:lvl w:ilvl="0" w:tplc="2CAE880C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BA06AA"/>
    <w:multiLevelType w:val="hybridMultilevel"/>
    <w:tmpl w:val="2410DD02"/>
    <w:lvl w:ilvl="0" w:tplc="41E69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CC1ADC"/>
    <w:multiLevelType w:val="hybridMultilevel"/>
    <w:tmpl w:val="B8BEC1E6"/>
    <w:lvl w:ilvl="0" w:tplc="2CAE880C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AA0F21"/>
    <w:multiLevelType w:val="hybridMultilevel"/>
    <w:tmpl w:val="17E88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40FD"/>
    <w:multiLevelType w:val="hybridMultilevel"/>
    <w:tmpl w:val="7FCC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335F"/>
    <w:multiLevelType w:val="multilevel"/>
    <w:tmpl w:val="5A4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A0CE3"/>
    <w:multiLevelType w:val="hybridMultilevel"/>
    <w:tmpl w:val="FA94C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806E3"/>
    <w:multiLevelType w:val="hybridMultilevel"/>
    <w:tmpl w:val="AAA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27CE"/>
    <w:multiLevelType w:val="hybridMultilevel"/>
    <w:tmpl w:val="8014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67A65"/>
    <w:multiLevelType w:val="hybridMultilevel"/>
    <w:tmpl w:val="984E4D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C5691"/>
    <w:multiLevelType w:val="hybridMultilevel"/>
    <w:tmpl w:val="E8A0CB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20"/>
    <w:rsid w:val="001E3342"/>
    <w:rsid w:val="002556D6"/>
    <w:rsid w:val="003D23CA"/>
    <w:rsid w:val="00540DAC"/>
    <w:rsid w:val="00582AE2"/>
    <w:rsid w:val="005E6379"/>
    <w:rsid w:val="00A35820"/>
    <w:rsid w:val="00B976F8"/>
    <w:rsid w:val="00C00AB6"/>
    <w:rsid w:val="00C51F13"/>
    <w:rsid w:val="00C8137C"/>
    <w:rsid w:val="00C949DA"/>
    <w:rsid w:val="00C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4AE2-2B17-42B7-85E5-1F08F19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CA"/>
  </w:style>
  <w:style w:type="paragraph" w:styleId="Stopka">
    <w:name w:val="footer"/>
    <w:basedOn w:val="Normalny"/>
    <w:link w:val="StopkaZnak"/>
    <w:uiPriority w:val="99"/>
    <w:unhideWhenUsed/>
    <w:rsid w:val="003D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CA"/>
  </w:style>
  <w:style w:type="paragraph" w:styleId="Akapitzlist">
    <w:name w:val="List Paragraph"/>
    <w:basedOn w:val="Normalny"/>
    <w:uiPriority w:val="34"/>
    <w:qFormat/>
    <w:rsid w:val="00C8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Guła</dc:creator>
  <cp:keywords/>
  <dc:description/>
  <cp:lastModifiedBy>Magdalena Guła</cp:lastModifiedBy>
  <cp:revision>6</cp:revision>
  <dcterms:created xsi:type="dcterms:W3CDTF">2016-05-12T09:37:00Z</dcterms:created>
  <dcterms:modified xsi:type="dcterms:W3CDTF">2016-05-12T10:33:00Z</dcterms:modified>
</cp:coreProperties>
</file>